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D9" w:rsidRPr="007A352C" w:rsidRDefault="00E44AD9" w:rsidP="008E6426">
      <w:pPr>
        <w:jc w:val="center"/>
        <w:rPr>
          <w:rFonts w:cs="Arial"/>
          <w:b/>
          <w:sz w:val="28"/>
          <w:u w:val="single"/>
        </w:rPr>
      </w:pPr>
      <w:r w:rsidRPr="007A352C">
        <w:rPr>
          <w:rFonts w:cs="Arial"/>
          <w:b/>
          <w:sz w:val="28"/>
          <w:u w:val="single"/>
        </w:rPr>
        <w:t xml:space="preserve">St George’s Hospital </w:t>
      </w:r>
      <w:r w:rsidR="007A4B21" w:rsidRPr="007A352C">
        <w:rPr>
          <w:rFonts w:cs="Arial"/>
          <w:b/>
          <w:sz w:val="28"/>
          <w:u w:val="single"/>
        </w:rPr>
        <w:t>Referral Criteria for</w:t>
      </w:r>
      <w:r w:rsidR="008E6426" w:rsidRPr="007A352C">
        <w:rPr>
          <w:rFonts w:cs="Arial"/>
          <w:b/>
          <w:sz w:val="28"/>
          <w:u w:val="single"/>
        </w:rPr>
        <w:t xml:space="preserve"> Mary Seacole Ward</w:t>
      </w:r>
      <w:r w:rsidR="007A4B21" w:rsidRPr="007A352C">
        <w:rPr>
          <w:rFonts w:cs="Arial"/>
          <w:b/>
          <w:sz w:val="28"/>
          <w:u w:val="single"/>
        </w:rPr>
        <w:t xml:space="preserve"> </w:t>
      </w:r>
    </w:p>
    <w:p w:rsidR="008E6426" w:rsidRPr="00BE209C" w:rsidRDefault="0028194D" w:rsidP="008E6426">
      <w:pPr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June </w:t>
      </w:r>
      <w:r w:rsidR="00DE0F01" w:rsidRPr="00BE209C">
        <w:rPr>
          <w:rFonts w:cs="Arial"/>
          <w:b/>
          <w:sz w:val="24"/>
          <w:szCs w:val="24"/>
          <w:u w:val="single"/>
        </w:rPr>
        <w:t>2021 (non-surge)</w:t>
      </w:r>
    </w:p>
    <w:p w:rsidR="00D6267B" w:rsidRDefault="00D6267B" w:rsidP="008E6426">
      <w:pPr>
        <w:rPr>
          <w:rFonts w:cs="Arial"/>
          <w:sz w:val="24"/>
          <w:u w:val="single"/>
        </w:rPr>
      </w:pPr>
      <w:r w:rsidRPr="00BE209C">
        <w:rPr>
          <w:rFonts w:cs="Arial"/>
        </w:rPr>
        <w:t xml:space="preserve">Mary Seacole ward is a 42 bedded unit for the rehabilitation and sub-acute care of older adults with frailty. Patients will receive holistic MDT management in line with the principles of Comprehensive Geriatric Assessment (CGA). </w:t>
      </w:r>
      <w:r w:rsidR="003C2583" w:rsidRPr="00BE209C">
        <w:rPr>
          <w:rFonts w:cs="Arial"/>
        </w:rPr>
        <w:t>The main differences from the acute site is no medical cover overnight and</w:t>
      </w:r>
      <w:r w:rsidR="003C2583" w:rsidRPr="00391249">
        <w:rPr>
          <w:rFonts w:cs="Arial"/>
        </w:rPr>
        <w:t xml:space="preserve"> reduced access</w:t>
      </w:r>
      <w:r w:rsidR="003C2583">
        <w:rPr>
          <w:rFonts w:cs="Arial"/>
        </w:rPr>
        <w:t xml:space="preserve"> to urgent radiology and bloods to guide immediate management. </w:t>
      </w:r>
    </w:p>
    <w:p w:rsidR="008E6426" w:rsidRPr="007A352C" w:rsidRDefault="00DE0F01" w:rsidP="008E6426">
      <w:pPr>
        <w:rPr>
          <w:rFonts w:cs="Arial"/>
          <w:sz w:val="24"/>
          <w:u w:val="single"/>
        </w:rPr>
      </w:pPr>
      <w:r w:rsidRPr="007A352C">
        <w:rPr>
          <w:rFonts w:cs="Arial"/>
          <w:sz w:val="24"/>
          <w:u w:val="single"/>
        </w:rPr>
        <w:t>Inclusion criteria</w:t>
      </w:r>
      <w:r w:rsidR="008E6426" w:rsidRPr="007A352C">
        <w:rPr>
          <w:rFonts w:cs="Arial"/>
          <w:sz w:val="24"/>
          <w:u w:val="single"/>
        </w:rPr>
        <w:t>:</w:t>
      </w:r>
    </w:p>
    <w:p w:rsidR="007A352C" w:rsidRDefault="007A352C" w:rsidP="007A352C">
      <w:pPr>
        <w:jc w:val="both"/>
      </w:pPr>
      <w:r>
        <w:t>Older adults with frailty syndromes:</w:t>
      </w:r>
      <w:bookmarkStart w:id="0" w:name="_GoBack"/>
      <w:bookmarkEnd w:id="0"/>
    </w:p>
    <w:p w:rsidR="00DE0F01" w:rsidRDefault="00610037" w:rsidP="00DE0F01">
      <w:pPr>
        <w:pStyle w:val="ListParagraph"/>
        <w:numPr>
          <w:ilvl w:val="0"/>
          <w:numId w:val="2"/>
        </w:numPr>
        <w:jc w:val="both"/>
      </w:pPr>
      <w:r>
        <w:t xml:space="preserve">All boroughs </w:t>
      </w:r>
    </w:p>
    <w:p w:rsidR="00A75E7B" w:rsidRDefault="00A75E7B" w:rsidP="00A75E7B">
      <w:pPr>
        <w:pStyle w:val="ListParagraph"/>
        <w:numPr>
          <w:ilvl w:val="0"/>
          <w:numId w:val="2"/>
        </w:numPr>
        <w:jc w:val="both"/>
      </w:pPr>
      <w:r>
        <w:rPr>
          <w:rFonts w:cs="Arial"/>
        </w:rPr>
        <w:t>Meets current IPC recommendations to transfer to yellow ward.</w:t>
      </w:r>
      <w:r>
        <w:t xml:space="preserve"> </w:t>
      </w:r>
    </w:p>
    <w:p w:rsidR="00E44AD9" w:rsidRDefault="00DE0F01" w:rsidP="00E44AD9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Older adults with frailty syndromes </w:t>
      </w:r>
      <w:r w:rsidR="00E44AD9" w:rsidRPr="00DE0F01">
        <w:rPr>
          <w:rFonts w:cs="Arial"/>
        </w:rPr>
        <w:t xml:space="preserve">who are deconditioned following an acute </w:t>
      </w:r>
      <w:r>
        <w:rPr>
          <w:rFonts w:cs="Arial"/>
        </w:rPr>
        <w:t xml:space="preserve">event but unable to have rehabilitation at home </w:t>
      </w:r>
      <w:r w:rsidR="00E44AD9" w:rsidRPr="00DE0F01">
        <w:rPr>
          <w:rFonts w:cs="Arial"/>
        </w:rPr>
        <w:t xml:space="preserve">and </w:t>
      </w:r>
      <w:r w:rsidR="00905225">
        <w:rPr>
          <w:rFonts w:cs="Arial"/>
        </w:rPr>
        <w:t>have rehabilitation goals.</w:t>
      </w:r>
    </w:p>
    <w:p w:rsidR="007A352C" w:rsidRDefault="007A352C" w:rsidP="007A352C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Those with s</w:t>
      </w:r>
      <w:r w:rsidR="00DE0F01">
        <w:rPr>
          <w:rFonts w:cs="Arial"/>
        </w:rPr>
        <w:t>ubacute medical needs (see exclusion criteria)</w:t>
      </w:r>
      <w:r w:rsidR="00905225">
        <w:rPr>
          <w:rFonts w:cs="Arial"/>
        </w:rPr>
        <w:t xml:space="preserve"> who would benefit from Comprehensive Geriatric Assessment</w:t>
      </w:r>
    </w:p>
    <w:p w:rsidR="00905225" w:rsidRDefault="00905225" w:rsidP="007A352C">
      <w:pPr>
        <w:pStyle w:val="ListParagraph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Non-urgent scans pending e.g. CT, MRI, US. </w:t>
      </w:r>
    </w:p>
    <w:p w:rsidR="007A352C" w:rsidRPr="007A352C" w:rsidRDefault="00305841" w:rsidP="007A352C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Medical </w:t>
      </w:r>
      <w:r w:rsidR="007A352C" w:rsidRPr="007A352C">
        <w:rPr>
          <w:rFonts w:cs="Arial"/>
          <w:u w:val="single"/>
        </w:rPr>
        <w:t>Exclusion criteria:</w:t>
      </w:r>
    </w:p>
    <w:p w:rsidR="007A352C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Overnight medical review required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First 48 hours of intravenous antibiotics</w:t>
      </w:r>
      <w:r w:rsidR="003C2583">
        <w:rPr>
          <w:rFonts w:cs="Arial"/>
        </w:rPr>
        <w:t xml:space="preserve"> or iv fluids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Oxygen requirement that is </w:t>
      </w:r>
    </w:p>
    <w:p w:rsidR="0065434A" w:rsidRDefault="0065434A" w:rsidP="0065434A">
      <w:pPr>
        <w:pStyle w:val="ListParagraph"/>
        <w:numPr>
          <w:ilvl w:val="1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New or increasing (i.e. not yet stable) </w:t>
      </w:r>
      <w:r w:rsidRPr="0065434A">
        <w:rPr>
          <w:rFonts w:cs="Arial"/>
          <w:b/>
          <w:u w:val="single"/>
        </w:rPr>
        <w:t xml:space="preserve">or </w:t>
      </w:r>
    </w:p>
    <w:p w:rsidR="0065434A" w:rsidRDefault="0065434A" w:rsidP="0065434A">
      <w:pPr>
        <w:pStyle w:val="ListParagraph"/>
        <w:numPr>
          <w:ilvl w:val="1"/>
          <w:numId w:val="12"/>
        </w:numPr>
        <w:jc w:val="both"/>
        <w:rPr>
          <w:rFonts w:cs="Arial"/>
        </w:rPr>
      </w:pPr>
      <w:r>
        <w:rPr>
          <w:rFonts w:cs="Arial"/>
        </w:rPr>
        <w:t>&gt;4L via nasal cannula</w:t>
      </w:r>
    </w:p>
    <w:p w:rsidR="00BE209C" w:rsidRPr="00391249" w:rsidRDefault="00BE209C" w:rsidP="00BE209C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End of life anticipated during current admission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Cardiac monitoring</w:t>
      </w:r>
      <w:r w:rsidR="00905225">
        <w:rPr>
          <w:rFonts w:cs="Arial"/>
        </w:rPr>
        <w:t xml:space="preserve"> needed.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Nasogastric feeding on-going or anticipated.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Blood gas monitoring required</w:t>
      </w:r>
    </w:p>
    <w:p w:rsidR="0065434A" w:rsidRDefault="00905225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Needs urgent endoscopy or scan to guide management that might involve another team.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Specialty opinion required for management e.g. psychiatry, surgical, </w:t>
      </w:r>
      <w:r w:rsidR="004A6F3A">
        <w:rPr>
          <w:rFonts w:cs="Arial"/>
        </w:rPr>
        <w:t xml:space="preserve">palliative, </w:t>
      </w:r>
      <w:r>
        <w:rPr>
          <w:rFonts w:cs="Arial"/>
        </w:rPr>
        <w:t>respiratory, gastroenterology</w:t>
      </w:r>
      <w:r w:rsidR="00BE209C">
        <w:rPr>
          <w:rFonts w:cs="Arial"/>
        </w:rPr>
        <w:t xml:space="preserve">, </w:t>
      </w:r>
      <w:proofErr w:type="spellStart"/>
      <w:r w:rsidR="00BE209C">
        <w:rPr>
          <w:rFonts w:cs="Arial"/>
        </w:rPr>
        <w:t>lymphoedema</w:t>
      </w:r>
      <w:proofErr w:type="spellEnd"/>
      <w:r>
        <w:rPr>
          <w:rFonts w:cs="Arial"/>
        </w:rPr>
        <w:t xml:space="preserve"> etc. </w:t>
      </w:r>
    </w:p>
    <w:p w:rsidR="0065434A" w:rsidRDefault="0065434A" w:rsidP="0065434A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Immobilised patients e.g. non-weight bearing </w:t>
      </w:r>
    </w:p>
    <w:p w:rsidR="00391249" w:rsidRDefault="0065434A" w:rsidP="00BE209C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Tracheostomy management</w:t>
      </w:r>
    </w:p>
    <w:p w:rsidR="00305841" w:rsidRPr="00305841" w:rsidRDefault="00305841" w:rsidP="00305841">
      <w:pPr>
        <w:jc w:val="both"/>
        <w:rPr>
          <w:rFonts w:cs="Arial"/>
          <w:u w:val="single"/>
        </w:rPr>
      </w:pPr>
      <w:r w:rsidRPr="00305841">
        <w:rPr>
          <w:rFonts w:cs="Arial"/>
          <w:u w:val="single"/>
        </w:rPr>
        <w:t>Therapies Exclusion Criteria</w:t>
      </w:r>
    </w:p>
    <w:p w:rsidR="00305841" w:rsidRPr="00305841" w:rsidRDefault="00305841" w:rsidP="00305841">
      <w:pPr>
        <w:pStyle w:val="ListParagraph"/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>Those requiring specialist rehabilitation e.g. neurological or amputee rehab.</w:t>
      </w:r>
    </w:p>
    <w:p w:rsidR="001F5A9B" w:rsidRPr="001F5A9B" w:rsidRDefault="001F5A9B" w:rsidP="001F5A9B">
      <w:pPr>
        <w:jc w:val="both"/>
        <w:rPr>
          <w:rFonts w:cs="Arial"/>
        </w:rPr>
      </w:pPr>
      <w:r w:rsidRPr="001F5A9B">
        <w:rPr>
          <w:rFonts w:cs="Arial"/>
        </w:rPr>
        <w:t>If you think that a patient might be suitable but does not meet the above criteria, please contact the MSW team</w:t>
      </w:r>
      <w:r w:rsidR="00305841">
        <w:rPr>
          <w:rFonts w:cs="Arial"/>
        </w:rPr>
        <w:t xml:space="preserve"> therapists or medics</w:t>
      </w:r>
      <w:r w:rsidRPr="001F5A9B">
        <w:rPr>
          <w:rFonts w:cs="Arial"/>
        </w:rPr>
        <w:t xml:space="preserve"> during working hours </w:t>
      </w:r>
      <w:r w:rsidR="00305841">
        <w:rPr>
          <w:rFonts w:cs="Arial"/>
        </w:rPr>
        <w:t xml:space="preserve">to discuss </w:t>
      </w:r>
      <w:r w:rsidRPr="001F5A9B">
        <w:rPr>
          <w:rFonts w:cs="Arial"/>
        </w:rPr>
        <w:t>or the Consultant Geriatrician on-c</w:t>
      </w:r>
      <w:r w:rsidR="00305841">
        <w:rPr>
          <w:rFonts w:cs="Arial"/>
        </w:rPr>
        <w:t xml:space="preserve">all on 07500 607 636 out of hours. </w:t>
      </w:r>
    </w:p>
    <w:p w:rsidR="00391249" w:rsidRPr="0065434A" w:rsidRDefault="00391249" w:rsidP="00391249">
      <w:pPr>
        <w:jc w:val="both"/>
        <w:rPr>
          <w:rFonts w:cs="Arial"/>
        </w:rPr>
      </w:pPr>
      <w:r>
        <w:rPr>
          <w:rFonts w:cs="Arial"/>
        </w:rPr>
        <w:t>For example:</w:t>
      </w:r>
    </w:p>
    <w:p w:rsidR="00391249" w:rsidRPr="00905225" w:rsidRDefault="00391249" w:rsidP="00391249">
      <w:pPr>
        <w:pStyle w:val="ListParagraph"/>
        <w:numPr>
          <w:ilvl w:val="0"/>
          <w:numId w:val="3"/>
        </w:numPr>
        <w:jc w:val="both"/>
        <w:rPr>
          <w:rFonts w:cs="Arial"/>
        </w:rPr>
      </w:pPr>
      <w:r w:rsidRPr="00905225">
        <w:rPr>
          <w:rFonts w:cs="Arial"/>
        </w:rPr>
        <w:t xml:space="preserve">On </w:t>
      </w:r>
      <w:r w:rsidRPr="00905225">
        <w:rPr>
          <w:rFonts w:cs="Arial"/>
          <w:i/>
          <w:iCs/>
        </w:rPr>
        <w:t>new</w:t>
      </w:r>
      <w:r w:rsidRPr="00905225">
        <w:rPr>
          <w:rFonts w:cs="Arial"/>
        </w:rPr>
        <w:t xml:space="preserve"> oxygen therapy but stable or weaning e.g. post covid, improving </w:t>
      </w:r>
      <w:r w:rsidR="00AC29F1">
        <w:rPr>
          <w:rFonts w:cs="Arial"/>
        </w:rPr>
        <w:t>fluid overloa</w:t>
      </w:r>
      <w:r w:rsidRPr="00905225">
        <w:rPr>
          <w:rFonts w:cs="Arial"/>
        </w:rPr>
        <w:t>d</w:t>
      </w:r>
    </w:p>
    <w:p w:rsidR="00305841" w:rsidRPr="00305841" w:rsidRDefault="00391249" w:rsidP="0030584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05225">
        <w:rPr>
          <w:rFonts w:cs="Arial"/>
        </w:rPr>
        <w:t xml:space="preserve">Ongoing </w:t>
      </w:r>
      <w:r>
        <w:rPr>
          <w:rFonts w:cs="Arial"/>
        </w:rPr>
        <w:t xml:space="preserve">need for </w:t>
      </w:r>
      <w:r w:rsidRPr="00905225">
        <w:rPr>
          <w:rFonts w:cs="Arial"/>
        </w:rPr>
        <w:t>intravenous</w:t>
      </w:r>
      <w:r>
        <w:rPr>
          <w:rFonts w:ascii="Arial" w:hAnsi="Arial" w:cs="Arial"/>
        </w:rPr>
        <w:t xml:space="preserve"> </w:t>
      </w:r>
      <w:r w:rsidRPr="00905225">
        <w:rPr>
          <w:rFonts w:cs="Arial"/>
        </w:rPr>
        <w:t>antibiotics</w:t>
      </w:r>
      <w:r w:rsidR="00AC29F1">
        <w:rPr>
          <w:rFonts w:cs="Arial"/>
        </w:rPr>
        <w:t xml:space="preserve"> but otherwise stable</w:t>
      </w:r>
      <w:r w:rsidR="00305841">
        <w:rPr>
          <w:rFonts w:cs="Arial"/>
        </w:rPr>
        <w:t xml:space="preserve"> e.g. no suitable oral agent</w:t>
      </w:r>
    </w:p>
    <w:p w:rsidR="00305841" w:rsidRPr="00305841" w:rsidRDefault="00305841" w:rsidP="0030584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cs="Arial"/>
        </w:rPr>
        <w:t>Unsure if rehabilitation or care needs can be met on MSW.</w:t>
      </w:r>
    </w:p>
    <w:sectPr w:rsidR="00305841" w:rsidRPr="00305841" w:rsidSect="00305841">
      <w:pgSz w:w="11906" w:h="16838"/>
      <w:pgMar w:top="720" w:right="720" w:bottom="720" w:left="720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AF8"/>
    <w:multiLevelType w:val="hybridMultilevel"/>
    <w:tmpl w:val="6414EDEA"/>
    <w:lvl w:ilvl="0" w:tplc="5EAE917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C9E"/>
    <w:multiLevelType w:val="hybridMultilevel"/>
    <w:tmpl w:val="61B824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67AA6"/>
    <w:multiLevelType w:val="hybridMultilevel"/>
    <w:tmpl w:val="8EE44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95280"/>
    <w:multiLevelType w:val="hybridMultilevel"/>
    <w:tmpl w:val="95FC4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C2854"/>
    <w:multiLevelType w:val="hybridMultilevel"/>
    <w:tmpl w:val="7B108454"/>
    <w:lvl w:ilvl="0" w:tplc="34562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F5406"/>
    <w:multiLevelType w:val="hybridMultilevel"/>
    <w:tmpl w:val="47C82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EF6"/>
    <w:multiLevelType w:val="hybridMultilevel"/>
    <w:tmpl w:val="F1C4A7D4"/>
    <w:lvl w:ilvl="0" w:tplc="345627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32880"/>
    <w:multiLevelType w:val="hybridMultilevel"/>
    <w:tmpl w:val="E27E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4EE8"/>
    <w:multiLevelType w:val="hybridMultilevel"/>
    <w:tmpl w:val="D110FBDC"/>
    <w:lvl w:ilvl="0" w:tplc="BF546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8D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0B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C2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C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44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6E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40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43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BF13B2"/>
    <w:multiLevelType w:val="hybridMultilevel"/>
    <w:tmpl w:val="6ECC1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654B3"/>
    <w:multiLevelType w:val="hybridMultilevel"/>
    <w:tmpl w:val="5622E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1"/>
    <w:rsid w:val="00025BE1"/>
    <w:rsid w:val="00172065"/>
    <w:rsid w:val="0018514B"/>
    <w:rsid w:val="001F5A9B"/>
    <w:rsid w:val="00227AAF"/>
    <w:rsid w:val="00232FBD"/>
    <w:rsid w:val="0028194D"/>
    <w:rsid w:val="00283542"/>
    <w:rsid w:val="002A38A5"/>
    <w:rsid w:val="00305841"/>
    <w:rsid w:val="0034555E"/>
    <w:rsid w:val="00384783"/>
    <w:rsid w:val="00391249"/>
    <w:rsid w:val="003A6A14"/>
    <w:rsid w:val="003B2223"/>
    <w:rsid w:val="003C2583"/>
    <w:rsid w:val="004A6F3A"/>
    <w:rsid w:val="004A7166"/>
    <w:rsid w:val="004C3159"/>
    <w:rsid w:val="005B112F"/>
    <w:rsid w:val="00610037"/>
    <w:rsid w:val="00632C6E"/>
    <w:rsid w:val="0065434A"/>
    <w:rsid w:val="00766206"/>
    <w:rsid w:val="007A352C"/>
    <w:rsid w:val="007A4B21"/>
    <w:rsid w:val="007D18D6"/>
    <w:rsid w:val="007F36A5"/>
    <w:rsid w:val="008E6426"/>
    <w:rsid w:val="008F673A"/>
    <w:rsid w:val="00900840"/>
    <w:rsid w:val="00905225"/>
    <w:rsid w:val="00944451"/>
    <w:rsid w:val="009B06CA"/>
    <w:rsid w:val="009B1E0B"/>
    <w:rsid w:val="00A75E7B"/>
    <w:rsid w:val="00AC29F1"/>
    <w:rsid w:val="00AE16E1"/>
    <w:rsid w:val="00BE209C"/>
    <w:rsid w:val="00BE7870"/>
    <w:rsid w:val="00C30CE1"/>
    <w:rsid w:val="00D6267B"/>
    <w:rsid w:val="00D95B5B"/>
    <w:rsid w:val="00DC17A1"/>
    <w:rsid w:val="00DE0F01"/>
    <w:rsid w:val="00DE2378"/>
    <w:rsid w:val="00E3756D"/>
    <w:rsid w:val="00E37BAF"/>
    <w:rsid w:val="00E44AD9"/>
    <w:rsid w:val="00E85B36"/>
    <w:rsid w:val="00F345C4"/>
    <w:rsid w:val="00F7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3E8"/>
  <w15:docId w15:val="{F40EB9C7-BF5D-4A21-821F-34E7655B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451"/>
    <w:pPr>
      <w:ind w:left="720"/>
      <w:contextualSpacing/>
    </w:pPr>
  </w:style>
  <w:style w:type="paragraph" w:styleId="NoSpacing">
    <w:name w:val="No Spacing"/>
    <w:uiPriority w:val="1"/>
    <w:qFormat/>
    <w:rsid w:val="008E64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0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7530-5796-47F9-AF20-71279CD4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 Keeling</dc:creator>
  <cp:lastModifiedBy>David Wall</cp:lastModifiedBy>
  <cp:revision>2</cp:revision>
  <cp:lastPrinted>2021-06-01T12:54:00Z</cp:lastPrinted>
  <dcterms:created xsi:type="dcterms:W3CDTF">2021-06-29T16:12:00Z</dcterms:created>
  <dcterms:modified xsi:type="dcterms:W3CDTF">2021-06-29T16:12:00Z</dcterms:modified>
</cp:coreProperties>
</file>