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32" w:rsidRDefault="00FC5932" w:rsidP="00937BAF">
      <w:pPr>
        <w:pStyle w:val="BodyText"/>
        <w:kinsoku w:val="0"/>
        <w:overflowPunct w:val="0"/>
        <w:spacing w:before="196"/>
        <w:ind w:left="-1701" w:right="1665"/>
        <w:rPr>
          <w:sz w:val="32"/>
          <w:szCs w:val="32"/>
        </w:rPr>
        <w:sectPr w:rsidR="00FC5932">
          <w:headerReference w:type="default" r:id="rId9"/>
          <w:pgSz w:w="11900" w:h="16840"/>
          <w:pgMar w:top="1320" w:right="980" w:bottom="1060" w:left="1220" w:header="0" w:footer="878" w:gutter="0"/>
          <w:cols w:num="2" w:space="720" w:equalWidth="0">
            <w:col w:w="1807" w:space="2"/>
            <w:col w:w="7891"/>
          </w:cols>
          <w:noEndnote/>
        </w:sectPr>
      </w:pPr>
    </w:p>
    <w:p w:rsidR="00FC5932" w:rsidRDefault="00FC5932" w:rsidP="00FC5932">
      <w:pPr>
        <w:pStyle w:val="BodyText"/>
        <w:kinsoku w:val="0"/>
        <w:overflowPunct w:val="0"/>
        <w:ind w:left="0"/>
        <w:rPr>
          <w:b/>
          <w:bCs/>
          <w:sz w:val="20"/>
          <w:szCs w:val="20"/>
        </w:rPr>
      </w:pPr>
    </w:p>
    <w:p w:rsidR="00511E77" w:rsidRPr="00511E77" w:rsidRDefault="00511E77" w:rsidP="00511E77">
      <w:pPr>
        <w:widowControl/>
        <w:autoSpaceDE/>
        <w:autoSpaceDN/>
        <w:adjustRightInd/>
        <w:jc w:val="center"/>
        <w:rPr>
          <w:rFonts w:ascii="Arial" w:eastAsia="Times New Roman" w:hAnsi="Arial" w:cs="Arial"/>
          <w:b/>
          <w:sz w:val="28"/>
          <w:szCs w:val="28"/>
        </w:rPr>
      </w:pPr>
      <w:r w:rsidRPr="00511E77">
        <w:rPr>
          <w:rFonts w:ascii="Arial" w:eastAsia="Times New Roman" w:hAnsi="Arial" w:cs="Arial"/>
          <w:b/>
          <w:sz w:val="28"/>
          <w:szCs w:val="28"/>
        </w:rPr>
        <w:t xml:space="preserve">Guidelines for the management of </w:t>
      </w:r>
      <w:proofErr w:type="spellStart"/>
      <w:r w:rsidRPr="00511E77">
        <w:rPr>
          <w:rFonts w:ascii="Arial" w:eastAsia="Times New Roman" w:hAnsi="Arial" w:cs="Arial"/>
          <w:b/>
          <w:sz w:val="28"/>
          <w:szCs w:val="28"/>
        </w:rPr>
        <w:t>hyperhaemolysis</w:t>
      </w:r>
      <w:proofErr w:type="spellEnd"/>
      <w:r w:rsidRPr="00511E77">
        <w:rPr>
          <w:rFonts w:ascii="Arial" w:eastAsia="Times New Roman" w:hAnsi="Arial" w:cs="Arial"/>
          <w:b/>
          <w:sz w:val="28"/>
          <w:szCs w:val="28"/>
        </w:rPr>
        <w:t xml:space="preserve"> in patients with </w:t>
      </w:r>
      <w:proofErr w:type="spellStart"/>
      <w:r w:rsidRPr="00511E77">
        <w:rPr>
          <w:rFonts w:ascii="Arial" w:eastAsia="Times New Roman" w:hAnsi="Arial" w:cs="Arial"/>
          <w:b/>
          <w:sz w:val="28"/>
          <w:szCs w:val="28"/>
        </w:rPr>
        <w:t>Haemoglobinopathies</w:t>
      </w:r>
      <w:proofErr w:type="spellEnd"/>
      <w:r w:rsidRPr="00511E77">
        <w:rPr>
          <w:rFonts w:ascii="Arial" w:eastAsia="Times New Roman" w:hAnsi="Arial" w:cs="Arial"/>
          <w:b/>
          <w:sz w:val="28"/>
          <w:szCs w:val="28"/>
        </w:rPr>
        <w:t>, including the use of intravenous immunoglobulin (</w:t>
      </w:r>
      <w:proofErr w:type="spellStart"/>
      <w:r w:rsidRPr="00511E77">
        <w:rPr>
          <w:rFonts w:ascii="Arial" w:eastAsia="Times New Roman" w:hAnsi="Arial" w:cs="Arial"/>
          <w:b/>
          <w:sz w:val="28"/>
          <w:szCs w:val="28"/>
        </w:rPr>
        <w:t>IVIg</w:t>
      </w:r>
      <w:proofErr w:type="spellEnd"/>
      <w:r w:rsidRPr="00511E77">
        <w:rPr>
          <w:rFonts w:ascii="Arial" w:eastAsia="Times New Roman" w:hAnsi="Arial" w:cs="Arial"/>
          <w:b/>
          <w:sz w:val="28"/>
          <w:szCs w:val="28"/>
        </w:rPr>
        <w:t>)</w:t>
      </w:r>
    </w:p>
    <w:p w:rsidR="00937BAF" w:rsidRPr="00511E77" w:rsidRDefault="00937BAF" w:rsidP="00FC5932">
      <w:pPr>
        <w:pStyle w:val="BodyText"/>
        <w:kinsoku w:val="0"/>
        <w:overflowPunct w:val="0"/>
        <w:ind w:left="0"/>
        <w:rPr>
          <w:b/>
          <w:bCs/>
          <w:sz w:val="20"/>
          <w:szCs w:val="20"/>
        </w:rPr>
      </w:pPr>
    </w:p>
    <w:p w:rsidR="00937BAF" w:rsidRDefault="00937BAF" w:rsidP="00FC5932">
      <w:pPr>
        <w:pStyle w:val="BodyText"/>
        <w:kinsoku w:val="0"/>
        <w:overflowPunct w:val="0"/>
        <w:ind w:left="0"/>
        <w:rPr>
          <w:b/>
          <w:bCs/>
          <w:sz w:val="20"/>
          <w:szCs w:val="20"/>
        </w:rPr>
      </w:pPr>
    </w:p>
    <w:p w:rsidR="00FC5932" w:rsidRDefault="00FC5932" w:rsidP="00FC5932">
      <w:pPr>
        <w:pStyle w:val="BodyText"/>
        <w:kinsoku w:val="0"/>
        <w:overflowPunct w:val="0"/>
        <w:spacing w:before="9"/>
        <w:ind w:left="0"/>
        <w:rPr>
          <w:b/>
          <w:bCs/>
          <w:sz w:val="20"/>
          <w:szCs w:val="20"/>
        </w:rPr>
      </w:pPr>
    </w:p>
    <w:p w:rsidR="00FC5932" w:rsidRDefault="00FC5932" w:rsidP="00FC5932">
      <w:pPr>
        <w:pStyle w:val="BodyText"/>
        <w:kinsoku w:val="0"/>
        <w:overflowPunct w:val="0"/>
        <w:spacing w:before="11"/>
        <w:ind w:left="0"/>
        <w:rPr>
          <w:i/>
          <w:iCs/>
          <w:sz w:val="16"/>
          <w:szCs w:val="16"/>
        </w:rPr>
      </w:pPr>
    </w:p>
    <w:tbl>
      <w:tblPr>
        <w:tblW w:w="0" w:type="auto"/>
        <w:tblInd w:w="220" w:type="dxa"/>
        <w:tblLayout w:type="fixed"/>
        <w:tblCellMar>
          <w:left w:w="0" w:type="dxa"/>
          <w:right w:w="0" w:type="dxa"/>
        </w:tblCellMar>
        <w:tblLook w:val="0000" w:firstRow="0" w:lastRow="0" w:firstColumn="0" w:lastColumn="0" w:noHBand="0" w:noVBand="0"/>
      </w:tblPr>
      <w:tblGrid>
        <w:gridCol w:w="3420"/>
        <w:gridCol w:w="5940"/>
      </w:tblGrid>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Profile</w:t>
            </w:r>
          </w:p>
        </w:tc>
      </w:tr>
      <w:tr w:rsidR="00937BAF">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Version:</w:t>
            </w:r>
          </w:p>
        </w:tc>
        <w:tc>
          <w:tcPr>
            <w:tcW w:w="5940" w:type="dxa"/>
            <w:tcBorders>
              <w:top w:val="single" w:sz="4" w:space="0" w:color="000000"/>
              <w:left w:val="single" w:sz="4" w:space="0" w:color="000000"/>
              <w:bottom w:val="single" w:sz="4" w:space="0" w:color="000000"/>
              <w:right w:val="single" w:sz="4" w:space="0" w:color="000000"/>
            </w:tcBorders>
          </w:tcPr>
          <w:p w:rsidR="00937BAF" w:rsidRDefault="00511E77" w:rsidP="008F4B2F">
            <w:pPr>
              <w:pStyle w:val="TableParagraph"/>
              <w:kinsoku w:val="0"/>
              <w:overflowPunct w:val="0"/>
              <w:ind w:left="103"/>
              <w:rPr>
                <w:rFonts w:ascii="Arial" w:hAnsi="Arial" w:cs="Arial"/>
                <w:i/>
                <w:iCs/>
                <w:sz w:val="22"/>
                <w:szCs w:val="22"/>
              </w:rPr>
            </w:pPr>
            <w:r>
              <w:rPr>
                <w:rFonts w:ascii="Arial" w:hAnsi="Arial" w:cs="Arial"/>
                <w:i/>
                <w:iCs/>
                <w:sz w:val="22"/>
                <w:szCs w:val="22"/>
              </w:rPr>
              <w:t>V3.0</w:t>
            </w:r>
          </w:p>
          <w:p w:rsidR="00B3284E" w:rsidRDefault="00B3284E" w:rsidP="008F4B2F">
            <w:pPr>
              <w:pStyle w:val="TableParagraph"/>
              <w:kinsoku w:val="0"/>
              <w:overflowPunct w:val="0"/>
              <w:ind w:left="103"/>
            </w:pPr>
          </w:p>
        </w:tc>
      </w:tr>
      <w:tr w:rsidR="00937BAF">
        <w:trPr>
          <w:trHeight w:hRule="exact" w:val="627"/>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right="101"/>
              <w:jc w:val="right"/>
            </w:pPr>
            <w:r>
              <w:rPr>
                <w:rFonts w:ascii="Arial" w:hAnsi="Arial" w:cs="Arial"/>
                <w:b/>
                <w:bCs/>
                <w:w w:val="95"/>
                <w:sz w:val="22"/>
                <w:szCs w:val="22"/>
              </w:rPr>
              <w:t>Author:</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rPr>
                <w:rFonts w:ascii="Arial" w:hAnsi="Arial" w:cs="Arial"/>
                <w:i/>
                <w:iCs/>
                <w:sz w:val="22"/>
                <w:szCs w:val="22"/>
              </w:rPr>
            </w:pPr>
            <w:r>
              <w:rPr>
                <w:rFonts w:ascii="Arial" w:hAnsi="Arial" w:cs="Arial"/>
                <w:i/>
                <w:iCs/>
                <w:sz w:val="22"/>
                <w:szCs w:val="22"/>
              </w:rPr>
              <w:t>Dr Julia Sikorska, Consultant Haematologist</w:t>
            </w:r>
          </w:p>
          <w:p w:rsidR="00511E77" w:rsidRPr="00511E77" w:rsidRDefault="00511E77" w:rsidP="008F4B2F">
            <w:pPr>
              <w:pStyle w:val="TableParagraph"/>
              <w:kinsoku w:val="0"/>
              <w:overflowPunct w:val="0"/>
              <w:ind w:left="103"/>
              <w:rPr>
                <w:rFonts w:ascii="Arial" w:hAnsi="Arial" w:cs="Arial"/>
                <w:i/>
                <w:sz w:val="22"/>
                <w:szCs w:val="22"/>
              </w:rPr>
            </w:pPr>
            <w:r w:rsidRPr="00511E77">
              <w:rPr>
                <w:rFonts w:ascii="Arial" w:eastAsia="Times New Roman" w:hAnsi="Arial" w:cs="Arial"/>
                <w:i/>
                <w:sz w:val="22"/>
                <w:szCs w:val="22"/>
              </w:rPr>
              <w:t>STSTN Clinical Guidelines Group 2019</w:t>
            </w:r>
          </w:p>
        </w:tc>
      </w:tr>
      <w:tr w:rsidR="00937BAF" w:rsidTr="00B3284E">
        <w:trPr>
          <w:trHeight w:hRule="exact" w:val="496"/>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jc w:val="right"/>
            </w:pPr>
            <w:r>
              <w:rPr>
                <w:rFonts w:ascii="Arial" w:hAnsi="Arial" w:cs="Arial"/>
                <w:b/>
                <w:bCs/>
                <w:sz w:val="22"/>
                <w:szCs w:val="22"/>
              </w:rPr>
              <w:t>Executive/Divisional sponsor:</w:t>
            </w:r>
          </w:p>
        </w:tc>
        <w:tc>
          <w:tcPr>
            <w:tcW w:w="5940" w:type="dxa"/>
            <w:tcBorders>
              <w:top w:val="single" w:sz="4" w:space="0" w:color="000000"/>
              <w:left w:val="single" w:sz="4" w:space="0" w:color="000000"/>
              <w:bottom w:val="single" w:sz="4" w:space="0" w:color="000000"/>
              <w:right w:val="single" w:sz="4" w:space="0" w:color="000000"/>
            </w:tcBorders>
          </w:tcPr>
          <w:p w:rsidR="00B3284E" w:rsidRPr="00C2635A" w:rsidRDefault="00511E77" w:rsidP="00511E77">
            <w:pPr>
              <w:pStyle w:val="TableParagraph"/>
              <w:kinsoku w:val="0"/>
              <w:overflowPunct w:val="0"/>
              <w:ind w:left="103"/>
              <w:rPr>
                <w:rFonts w:ascii="Arial" w:hAnsi="Arial" w:cs="Arial"/>
                <w:i/>
              </w:rPr>
            </w:pPr>
            <w:r>
              <w:rPr>
                <w:rFonts w:ascii="Arial" w:hAnsi="Arial" w:cs="Arial"/>
                <w:i/>
                <w:sz w:val="22"/>
                <w:szCs w:val="22"/>
              </w:rPr>
              <w:t>Via Hospital Transfusion Committee</w:t>
            </w:r>
          </w:p>
        </w:tc>
      </w:tr>
      <w:tr w:rsidR="00937BAF">
        <w:trPr>
          <w:trHeight w:hRule="exact" w:val="722"/>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546"/>
              <w:jc w:val="right"/>
            </w:pPr>
            <w:r>
              <w:rPr>
                <w:rFonts w:ascii="Arial" w:hAnsi="Arial" w:cs="Arial"/>
                <w:b/>
                <w:bCs/>
                <w:sz w:val="22"/>
                <w:szCs w:val="22"/>
              </w:rPr>
              <w:t>Applies to:</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8F4B2F">
            <w:pPr>
              <w:pStyle w:val="TableParagraph"/>
              <w:kinsoku w:val="0"/>
              <w:overflowPunct w:val="0"/>
              <w:ind w:left="103"/>
            </w:pPr>
            <w:r>
              <w:rPr>
                <w:rFonts w:ascii="Arial" w:hAnsi="Arial" w:cs="Arial"/>
                <w:i/>
                <w:iCs/>
                <w:sz w:val="22"/>
                <w:szCs w:val="22"/>
              </w:rPr>
              <w:t>All staff involved in the care of patients with Sickle Cell Disease</w:t>
            </w:r>
          </w:p>
        </w:tc>
      </w:tr>
      <w:tr w:rsidR="00937BAF" w:rsidTr="00B3284E">
        <w:trPr>
          <w:trHeight w:hRule="exact" w:val="571"/>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99"/>
            </w:pPr>
            <w:r>
              <w:rPr>
                <w:rFonts w:ascii="Arial" w:hAnsi="Arial" w:cs="Arial"/>
                <w:b/>
                <w:bCs/>
                <w:sz w:val="22"/>
                <w:szCs w:val="22"/>
              </w:rPr>
              <w:t>Date</w:t>
            </w:r>
            <w:r>
              <w:rPr>
                <w:rFonts w:ascii="Arial" w:hAnsi="Arial" w:cs="Arial"/>
                <w:b/>
                <w:bCs/>
                <w:spacing w:val="-3"/>
                <w:sz w:val="22"/>
                <w:szCs w:val="22"/>
              </w:rPr>
              <w:t xml:space="preserve"> </w:t>
            </w:r>
            <w:r>
              <w:rPr>
                <w:rFonts w:ascii="Arial" w:hAnsi="Arial" w:cs="Arial"/>
                <w:b/>
                <w:bCs/>
                <w:sz w:val="22"/>
                <w:szCs w:val="22"/>
              </w:rPr>
              <w:t>issued:</w:t>
            </w:r>
          </w:p>
        </w:tc>
        <w:tc>
          <w:tcPr>
            <w:tcW w:w="5940" w:type="dxa"/>
            <w:tcBorders>
              <w:top w:val="single" w:sz="4" w:space="0" w:color="000000"/>
              <w:left w:val="single" w:sz="4" w:space="0" w:color="000000"/>
              <w:bottom w:val="single" w:sz="4" w:space="0" w:color="000000"/>
              <w:right w:val="single" w:sz="4" w:space="0" w:color="000000"/>
            </w:tcBorders>
          </w:tcPr>
          <w:p w:rsidR="00937BAF" w:rsidRDefault="00B3284E" w:rsidP="008F4B2F">
            <w:pPr>
              <w:pStyle w:val="TableParagraph"/>
              <w:kinsoku w:val="0"/>
              <w:overflowPunct w:val="0"/>
              <w:ind w:left="103"/>
              <w:rPr>
                <w:rFonts w:ascii="Arial" w:hAnsi="Arial" w:cs="Arial"/>
                <w:i/>
                <w:iCs/>
                <w:sz w:val="22"/>
                <w:szCs w:val="22"/>
              </w:rPr>
            </w:pPr>
            <w:r>
              <w:rPr>
                <w:rFonts w:ascii="Arial" w:hAnsi="Arial" w:cs="Arial"/>
                <w:i/>
                <w:iCs/>
                <w:sz w:val="22"/>
                <w:szCs w:val="22"/>
              </w:rPr>
              <w:t xml:space="preserve">V3.0 </w:t>
            </w:r>
            <w:r w:rsidR="00937BAF">
              <w:rPr>
                <w:rFonts w:ascii="Arial" w:hAnsi="Arial" w:cs="Arial"/>
                <w:i/>
                <w:iCs/>
                <w:sz w:val="22"/>
                <w:szCs w:val="22"/>
              </w:rPr>
              <w:t>February 20</w:t>
            </w:r>
            <w:r w:rsidR="00511E77">
              <w:rPr>
                <w:rFonts w:ascii="Arial" w:hAnsi="Arial" w:cs="Arial"/>
                <w:i/>
                <w:iCs/>
                <w:sz w:val="22"/>
                <w:szCs w:val="22"/>
              </w:rPr>
              <w:t>20</w:t>
            </w:r>
          </w:p>
          <w:p w:rsidR="00B3284E" w:rsidRDefault="00B3284E" w:rsidP="008F4B2F">
            <w:pPr>
              <w:pStyle w:val="TableParagraph"/>
              <w:kinsoku w:val="0"/>
              <w:overflowPunct w:val="0"/>
              <w:ind w:left="103"/>
            </w:pPr>
          </w:p>
        </w:tc>
      </w:tr>
      <w:tr w:rsidR="00937BAF">
        <w:trPr>
          <w:trHeight w:hRule="exact" w:val="304"/>
        </w:trPr>
        <w:tc>
          <w:tcPr>
            <w:tcW w:w="3420" w:type="dxa"/>
            <w:tcBorders>
              <w:top w:val="single" w:sz="4" w:space="0" w:color="000000"/>
              <w:left w:val="single" w:sz="4" w:space="0" w:color="000000"/>
              <w:bottom w:val="single" w:sz="4" w:space="0" w:color="000000"/>
              <w:right w:val="single" w:sz="4" w:space="0" w:color="000000"/>
            </w:tcBorders>
          </w:tcPr>
          <w:p w:rsidR="00937BAF" w:rsidRDefault="00937BAF" w:rsidP="0098329C">
            <w:pPr>
              <w:pStyle w:val="TableParagraph"/>
              <w:kinsoku w:val="0"/>
              <w:overflowPunct w:val="0"/>
              <w:ind w:left="1962"/>
            </w:pPr>
            <w:r>
              <w:rPr>
                <w:rFonts w:ascii="Arial" w:hAnsi="Arial" w:cs="Arial"/>
                <w:b/>
                <w:bCs/>
                <w:sz w:val="22"/>
                <w:szCs w:val="22"/>
              </w:rPr>
              <w:t>Review</w:t>
            </w:r>
            <w:r>
              <w:rPr>
                <w:rFonts w:ascii="Arial" w:hAnsi="Arial" w:cs="Arial"/>
                <w:b/>
                <w:bCs/>
                <w:spacing w:val="-3"/>
                <w:sz w:val="22"/>
                <w:szCs w:val="22"/>
              </w:rPr>
              <w:t xml:space="preserve"> </w:t>
            </w:r>
            <w:r>
              <w:rPr>
                <w:rFonts w:ascii="Arial" w:hAnsi="Arial" w:cs="Arial"/>
                <w:b/>
                <w:bCs/>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937BAF" w:rsidRDefault="00937BAF" w:rsidP="00511E77">
            <w:pPr>
              <w:pStyle w:val="TableParagraph"/>
              <w:kinsoku w:val="0"/>
              <w:overflowPunct w:val="0"/>
              <w:ind w:left="103"/>
            </w:pPr>
            <w:r>
              <w:rPr>
                <w:rFonts w:ascii="Arial" w:hAnsi="Arial" w:cs="Arial"/>
                <w:i/>
                <w:iCs/>
                <w:sz w:val="22"/>
                <w:szCs w:val="22"/>
              </w:rPr>
              <w:t>February 202</w:t>
            </w:r>
            <w:r w:rsidR="00511E77">
              <w:rPr>
                <w:rFonts w:ascii="Arial" w:hAnsi="Arial" w:cs="Arial"/>
                <w:i/>
                <w:iCs/>
                <w:sz w:val="22"/>
                <w:szCs w:val="22"/>
              </w:rPr>
              <w:t>3</w:t>
            </w:r>
          </w:p>
        </w:tc>
      </w:tr>
      <w:tr w:rsidR="00FC5932">
        <w:trPr>
          <w:trHeight w:hRule="exact" w:val="302"/>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Approval</w:t>
            </w:r>
          </w:p>
        </w:tc>
      </w:tr>
      <w:tr w:rsidR="00B3284E">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B3284E" w:rsidRDefault="00B3284E" w:rsidP="00F85AA4">
            <w:pPr>
              <w:pStyle w:val="TableParagraph"/>
              <w:kinsoku w:val="0"/>
              <w:overflowPunct w:val="0"/>
              <w:jc w:val="right"/>
            </w:pPr>
            <w:r>
              <w:rPr>
                <w:rFonts w:ascii="Arial" w:hAnsi="Arial" w:cs="Arial"/>
                <w:b/>
                <w:bCs/>
                <w:sz w:val="22"/>
                <w:szCs w:val="22"/>
              </w:rPr>
              <w:t>Approval</w:t>
            </w:r>
            <w:r>
              <w:rPr>
                <w:rFonts w:ascii="Arial" w:hAnsi="Arial" w:cs="Arial"/>
                <w:b/>
                <w:bCs/>
                <w:spacing w:val="-4"/>
                <w:sz w:val="22"/>
                <w:szCs w:val="22"/>
              </w:rPr>
              <w:t xml:space="preserve"> person/</w:t>
            </w:r>
            <w:r>
              <w:rPr>
                <w:rFonts w:ascii="Arial" w:hAnsi="Arial" w:cs="Arial"/>
                <w:b/>
                <w:bCs/>
                <w:sz w:val="22"/>
                <w:szCs w:val="22"/>
              </w:rPr>
              <w:t>Committee:</w:t>
            </w:r>
          </w:p>
        </w:tc>
        <w:tc>
          <w:tcPr>
            <w:tcW w:w="5940" w:type="dxa"/>
            <w:tcBorders>
              <w:top w:val="single" w:sz="4" w:space="0" w:color="000000"/>
              <w:left w:val="single" w:sz="4" w:space="0" w:color="000000"/>
              <w:bottom w:val="single" w:sz="4" w:space="0" w:color="000000"/>
              <w:right w:val="single" w:sz="4" w:space="0" w:color="000000"/>
            </w:tcBorders>
          </w:tcPr>
          <w:p w:rsidR="00B3284E" w:rsidRPr="002D16C0" w:rsidRDefault="00B3284E" w:rsidP="0098329C">
            <w:pPr>
              <w:rPr>
                <w:rFonts w:ascii="Arial" w:hAnsi="Arial" w:cs="Arial"/>
                <w:i/>
                <w:sz w:val="22"/>
                <w:szCs w:val="22"/>
              </w:rPr>
            </w:pPr>
            <w:r>
              <w:rPr>
                <w:rFonts w:ascii="Arial" w:hAnsi="Arial" w:cs="Arial"/>
                <w:i/>
                <w:sz w:val="22"/>
                <w:szCs w:val="22"/>
              </w:rPr>
              <w:t>Hospital Transfusion Committee</w:t>
            </w:r>
          </w:p>
        </w:tc>
      </w:tr>
      <w:tr w:rsidR="00B3284E">
        <w:trPr>
          <w:trHeight w:hRule="exact" w:val="302"/>
        </w:trPr>
        <w:tc>
          <w:tcPr>
            <w:tcW w:w="3420" w:type="dxa"/>
            <w:tcBorders>
              <w:top w:val="single" w:sz="4" w:space="0" w:color="000000"/>
              <w:left w:val="single" w:sz="4" w:space="0" w:color="000000"/>
              <w:bottom w:val="single" w:sz="4" w:space="0" w:color="000000"/>
              <w:right w:val="single" w:sz="4" w:space="0" w:color="000000"/>
            </w:tcBorders>
          </w:tcPr>
          <w:p w:rsidR="00B3284E" w:rsidRDefault="00B3284E" w:rsidP="00F85AA4">
            <w:pPr>
              <w:pStyle w:val="TableParagraph"/>
              <w:kinsoku w:val="0"/>
              <w:overflowPunct w:val="0"/>
              <w:ind w:right="101"/>
              <w:jc w:val="right"/>
            </w:pPr>
            <w:r>
              <w:rPr>
                <w:rFonts w:ascii="Arial" w:hAnsi="Arial" w:cs="Arial"/>
                <w:b/>
                <w:bCs/>
                <w:w w:val="95"/>
                <w:sz w:val="22"/>
                <w:szCs w:val="22"/>
              </w:rPr>
              <w:t>Date:</w:t>
            </w:r>
          </w:p>
        </w:tc>
        <w:tc>
          <w:tcPr>
            <w:tcW w:w="5940" w:type="dxa"/>
            <w:tcBorders>
              <w:top w:val="single" w:sz="4" w:space="0" w:color="000000"/>
              <w:left w:val="single" w:sz="4" w:space="0" w:color="000000"/>
              <w:bottom w:val="single" w:sz="4" w:space="0" w:color="000000"/>
              <w:right w:val="single" w:sz="4" w:space="0" w:color="000000"/>
            </w:tcBorders>
          </w:tcPr>
          <w:p w:rsidR="00B3284E" w:rsidRPr="002D16C0" w:rsidRDefault="00256416" w:rsidP="0098329C">
            <w:pPr>
              <w:rPr>
                <w:rFonts w:ascii="Arial" w:hAnsi="Arial" w:cs="Arial"/>
                <w:i/>
                <w:sz w:val="22"/>
                <w:szCs w:val="22"/>
              </w:rPr>
            </w:pPr>
            <w:r>
              <w:rPr>
                <w:rFonts w:ascii="Arial" w:hAnsi="Arial" w:cs="Arial"/>
                <w:i/>
                <w:sz w:val="22"/>
                <w:szCs w:val="22"/>
              </w:rPr>
              <w:t>March 2020</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11"/>
        <w:ind w:left="0"/>
        <w:rPr>
          <w:i/>
          <w:iCs/>
          <w:sz w:val="29"/>
          <w:szCs w:val="29"/>
        </w:rPr>
      </w:pPr>
    </w:p>
    <w:p w:rsidR="00FC5932" w:rsidRDefault="00FC5932" w:rsidP="00FC5932">
      <w:pPr>
        <w:sectPr w:rsidR="00FC5932">
          <w:type w:val="continuous"/>
          <w:pgSz w:w="11900" w:h="16840"/>
          <w:pgMar w:top="1360" w:right="980" w:bottom="1080" w:left="1220" w:header="720" w:footer="720" w:gutter="0"/>
          <w:cols w:space="720" w:equalWidth="0">
            <w:col w:w="9700"/>
          </w:cols>
          <w:noEndnote/>
        </w:sectPr>
      </w:pPr>
    </w:p>
    <w:p w:rsidR="00FC5932" w:rsidRDefault="00FC5932" w:rsidP="00FC5932">
      <w:pPr>
        <w:pStyle w:val="Heading1"/>
        <w:kinsoku w:val="0"/>
        <w:overflowPunct w:val="0"/>
        <w:spacing w:before="37"/>
        <w:ind w:right="873"/>
        <w:rPr>
          <w:b w:val="0"/>
          <w:bCs w:val="0"/>
          <w:u w:val="none"/>
        </w:rPr>
      </w:pPr>
      <w:r>
        <w:rPr>
          <w:u w:val="none"/>
        </w:rPr>
        <w:lastRenderedPageBreak/>
        <w:t>Contents</w:t>
      </w:r>
    </w:p>
    <w:p w:rsidR="00FC5932" w:rsidRDefault="00FC5932" w:rsidP="00FC5932">
      <w:pPr>
        <w:pStyle w:val="BodyText"/>
        <w:kinsoku w:val="0"/>
        <w:overflowPunct w:val="0"/>
        <w:ind w:left="0"/>
        <w:rPr>
          <w:b/>
          <w:bCs/>
          <w:sz w:val="20"/>
          <w:szCs w:val="20"/>
        </w:rPr>
      </w:pPr>
    </w:p>
    <w:p w:rsidR="00FC5932" w:rsidRDefault="00FC5932" w:rsidP="00FC5932">
      <w:pPr>
        <w:pStyle w:val="BodyText"/>
        <w:kinsoku w:val="0"/>
        <w:overflowPunct w:val="0"/>
        <w:spacing w:before="1"/>
        <w:ind w:left="0"/>
        <w:rPr>
          <w:b/>
          <w:bCs/>
          <w:sz w:val="29"/>
          <w:szCs w:val="29"/>
        </w:rPr>
      </w:pPr>
    </w:p>
    <w:tbl>
      <w:tblPr>
        <w:tblW w:w="0" w:type="auto"/>
        <w:tblInd w:w="473" w:type="dxa"/>
        <w:tblLayout w:type="fixed"/>
        <w:tblCellMar>
          <w:left w:w="0" w:type="dxa"/>
          <w:right w:w="0" w:type="dxa"/>
        </w:tblCellMar>
        <w:tblLook w:val="0000" w:firstRow="0" w:lastRow="0" w:firstColumn="0" w:lastColumn="0" w:noHBand="0" w:noVBand="0"/>
      </w:tblPr>
      <w:tblGrid>
        <w:gridCol w:w="813"/>
        <w:gridCol w:w="6480"/>
        <w:gridCol w:w="986"/>
      </w:tblGrid>
      <w:tr w:rsidR="00FC5932">
        <w:trPr>
          <w:trHeight w:hRule="exact" w:val="438"/>
        </w:trPr>
        <w:tc>
          <w:tcPr>
            <w:tcW w:w="7293" w:type="dxa"/>
            <w:gridSpan w:val="2"/>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103"/>
            </w:pPr>
            <w:r>
              <w:rPr>
                <w:rFonts w:ascii="Arial" w:hAnsi="Arial" w:cs="Arial"/>
                <w:b/>
                <w:bCs/>
                <w:sz w:val="22"/>
                <w:szCs w:val="22"/>
              </w:rPr>
              <w:t>Paragraph</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87"/>
              <w:ind w:left="225"/>
            </w:pPr>
            <w:r>
              <w:rPr>
                <w:rFonts w:ascii="Arial" w:hAnsi="Arial" w:cs="Arial"/>
                <w:b/>
                <w:bCs/>
                <w:sz w:val="22"/>
                <w:szCs w:val="22"/>
              </w:rPr>
              <w:t>Page</w:t>
            </w:r>
          </w:p>
        </w:tc>
      </w:tr>
      <w:tr w:rsidR="00FC5932">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C5932" w:rsidP="0098329C">
            <w:pPr>
              <w:pStyle w:val="TableParagraph"/>
              <w:kinsoku w:val="0"/>
              <w:overflowPunct w:val="0"/>
              <w:spacing w:before="38"/>
              <w:ind w:left="103"/>
              <w:rPr>
                <w:rFonts w:ascii="Arial" w:hAnsi="Arial" w:cs="Arial"/>
              </w:rPr>
            </w:pPr>
            <w:r w:rsidRPr="00F22E20">
              <w:rPr>
                <w:rFonts w:ascii="Arial" w:hAnsi="Arial" w:cs="Arial"/>
                <w:sz w:val="22"/>
                <w:szCs w:val="22"/>
              </w:rPr>
              <w:t>Executive</w:t>
            </w:r>
            <w:r w:rsidRPr="00F22E20">
              <w:rPr>
                <w:rFonts w:ascii="Arial" w:hAnsi="Arial" w:cs="Arial"/>
                <w:spacing w:val="-4"/>
                <w:sz w:val="22"/>
                <w:szCs w:val="22"/>
              </w:rPr>
              <w:t xml:space="preserve"> </w:t>
            </w:r>
            <w:r w:rsidRPr="00F22E20">
              <w:rPr>
                <w:rFonts w:ascii="Arial" w:hAnsi="Arial" w:cs="Arial"/>
                <w:sz w:val="22"/>
                <w:szCs w:val="22"/>
              </w:rPr>
              <w:t>Summary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C5932">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before="38"/>
              <w:ind w:right="1"/>
              <w:jc w:val="center"/>
            </w:pPr>
          </w:p>
        </w:tc>
        <w:tc>
          <w:tcPr>
            <w:tcW w:w="6480" w:type="dxa"/>
            <w:tcBorders>
              <w:top w:val="single" w:sz="4" w:space="0" w:color="000000"/>
              <w:left w:val="single" w:sz="4" w:space="0" w:color="000000"/>
              <w:bottom w:val="single" w:sz="4" w:space="0" w:color="000000"/>
              <w:right w:val="single" w:sz="4" w:space="0" w:color="000000"/>
            </w:tcBorders>
          </w:tcPr>
          <w:p w:rsidR="00FC5932" w:rsidRPr="00F22E20" w:rsidRDefault="00F22E20" w:rsidP="0098329C">
            <w:pPr>
              <w:pStyle w:val="TableParagraph"/>
              <w:kinsoku w:val="0"/>
              <w:overflowPunct w:val="0"/>
              <w:spacing w:before="38"/>
              <w:ind w:left="103"/>
              <w:rPr>
                <w:rFonts w:ascii="Arial" w:hAnsi="Arial" w:cs="Arial"/>
              </w:rPr>
            </w:pPr>
            <w:r w:rsidRPr="00F22E20">
              <w:rPr>
                <w:rFonts w:ascii="Arial" w:hAnsi="Arial" w:cs="Arial"/>
                <w:sz w:val="22"/>
              </w:rPr>
              <w:t>Policy Gateway</w:t>
            </w:r>
          </w:p>
        </w:tc>
        <w:tc>
          <w:tcPr>
            <w:tcW w:w="986" w:type="dxa"/>
            <w:tcBorders>
              <w:top w:val="single" w:sz="4" w:space="0" w:color="000000"/>
              <w:left w:val="single" w:sz="4" w:space="0" w:color="000000"/>
              <w:bottom w:val="single" w:sz="4" w:space="0" w:color="000000"/>
              <w:right w:val="single" w:sz="4" w:space="0" w:color="000000"/>
            </w:tcBorders>
          </w:tcPr>
          <w:p w:rsidR="00FC5932" w:rsidRDefault="00FC5932"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1</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Intro</w:t>
            </w:r>
            <w:r w:rsidRPr="00F22E20">
              <w:rPr>
                <w:rFonts w:ascii="Arial" w:hAnsi="Arial" w:cs="Arial"/>
                <w:sz w:val="22"/>
                <w:szCs w:val="22"/>
              </w:rPr>
              <w:t>d</w:t>
            </w:r>
            <w:r>
              <w:rPr>
                <w:rFonts w:ascii="Arial" w:hAnsi="Arial" w:cs="Arial"/>
                <w:sz w:val="22"/>
                <w:szCs w:val="22"/>
              </w:rPr>
              <w:t>uction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2</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Purpose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3</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Definitions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4</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Scope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5</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Roles and</w:t>
            </w:r>
            <w:r>
              <w:rPr>
                <w:rFonts w:ascii="Arial" w:hAnsi="Arial" w:cs="Arial"/>
                <w:spacing w:val="-7"/>
                <w:sz w:val="22"/>
                <w:szCs w:val="22"/>
              </w:rPr>
              <w:t xml:space="preserve"> </w:t>
            </w:r>
            <w:r>
              <w:rPr>
                <w:rFonts w:ascii="Arial" w:hAnsi="Arial" w:cs="Arial"/>
                <w:sz w:val="22"/>
                <w:szCs w:val="22"/>
              </w:rPr>
              <w:t>responsibilities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6</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Other headings as</w:t>
            </w:r>
            <w:r>
              <w:rPr>
                <w:rFonts w:ascii="Arial" w:hAnsi="Arial" w:cs="Arial"/>
                <w:spacing w:val="-8"/>
                <w:sz w:val="22"/>
                <w:szCs w:val="22"/>
              </w:rPr>
              <w:t xml:space="preserve"> </w:t>
            </w:r>
            <w:r>
              <w:rPr>
                <w:rFonts w:ascii="Arial" w:hAnsi="Arial" w:cs="Arial"/>
                <w:sz w:val="22"/>
                <w:szCs w:val="22"/>
              </w:rPr>
              <w:t>appropriate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7</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Implementation and</w:t>
            </w:r>
            <w:r>
              <w:rPr>
                <w:rFonts w:ascii="Arial" w:hAnsi="Arial" w:cs="Arial"/>
                <w:spacing w:val="-5"/>
                <w:sz w:val="22"/>
                <w:szCs w:val="22"/>
              </w:rPr>
              <w:t xml:space="preserve"> </w:t>
            </w:r>
            <w:r>
              <w:rPr>
                <w:rFonts w:ascii="Arial" w:hAnsi="Arial" w:cs="Arial"/>
                <w:sz w:val="22"/>
                <w:szCs w:val="22"/>
              </w:rPr>
              <w:t>dissemination</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8</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Monitoring</w:t>
            </w:r>
            <w:r>
              <w:rPr>
                <w:rFonts w:ascii="Arial" w:hAnsi="Arial" w:cs="Arial"/>
                <w:spacing w:val="-4"/>
                <w:sz w:val="22"/>
                <w:szCs w:val="22"/>
              </w:rPr>
              <w:t xml:space="preserve"> </w:t>
            </w:r>
            <w:r>
              <w:rPr>
                <w:rFonts w:ascii="Arial" w:hAnsi="Arial" w:cs="Arial"/>
                <w:sz w:val="22"/>
                <w:szCs w:val="22"/>
              </w:rPr>
              <w:t>compliance</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3"/>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w w:val="99"/>
                <w:sz w:val="22"/>
                <w:szCs w:val="22"/>
              </w:rPr>
              <w:t>9</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3"/>
            </w:pPr>
            <w:r>
              <w:rPr>
                <w:rFonts w:ascii="Arial" w:hAnsi="Arial" w:cs="Arial"/>
                <w:sz w:val="22"/>
                <w:szCs w:val="22"/>
              </w:rPr>
              <w:t>Associated</w:t>
            </w:r>
            <w:r>
              <w:rPr>
                <w:rFonts w:ascii="Arial" w:hAnsi="Arial" w:cs="Arial"/>
                <w:spacing w:val="-5"/>
                <w:sz w:val="22"/>
                <w:szCs w:val="22"/>
              </w:rPr>
              <w:t xml:space="preserve"> </w:t>
            </w:r>
            <w:r>
              <w:rPr>
                <w:rFonts w:ascii="Arial" w:hAnsi="Arial" w:cs="Arial"/>
                <w:sz w:val="22"/>
                <w:szCs w:val="22"/>
              </w:rPr>
              <w:t>documents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r w:rsidR="00F22E20">
        <w:trPr>
          <w:trHeight w:hRule="exact" w:val="342"/>
        </w:trPr>
        <w:tc>
          <w:tcPr>
            <w:tcW w:w="813"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right="1"/>
              <w:jc w:val="center"/>
            </w:pPr>
            <w:r>
              <w:rPr>
                <w:rFonts w:ascii="Arial" w:hAnsi="Arial" w:cs="Arial"/>
                <w:sz w:val="22"/>
                <w:szCs w:val="22"/>
              </w:rPr>
              <w:t>10</w:t>
            </w:r>
          </w:p>
        </w:tc>
        <w:tc>
          <w:tcPr>
            <w:tcW w:w="6480" w:type="dxa"/>
            <w:tcBorders>
              <w:top w:val="single" w:sz="4" w:space="0" w:color="000000"/>
              <w:left w:val="single" w:sz="4" w:space="0" w:color="000000"/>
              <w:bottom w:val="single" w:sz="4" w:space="0" w:color="000000"/>
              <w:right w:val="single" w:sz="4" w:space="0" w:color="000000"/>
            </w:tcBorders>
          </w:tcPr>
          <w:p w:rsidR="00F22E20" w:rsidRDefault="00F22E20" w:rsidP="00F22E20">
            <w:pPr>
              <w:pStyle w:val="TableParagraph"/>
              <w:kinsoku w:val="0"/>
              <w:overflowPunct w:val="0"/>
              <w:spacing w:before="38"/>
              <w:ind w:left="102"/>
            </w:pPr>
            <w:r>
              <w:rPr>
                <w:rFonts w:ascii="Arial" w:hAnsi="Arial" w:cs="Arial"/>
                <w:sz w:val="22"/>
                <w:szCs w:val="22"/>
              </w:rPr>
              <w:t>References</w:t>
            </w:r>
          </w:p>
        </w:tc>
        <w:tc>
          <w:tcPr>
            <w:tcW w:w="986" w:type="dxa"/>
            <w:tcBorders>
              <w:top w:val="single" w:sz="4" w:space="0" w:color="000000"/>
              <w:left w:val="single" w:sz="4" w:space="0" w:color="000000"/>
              <w:bottom w:val="single" w:sz="4" w:space="0" w:color="000000"/>
              <w:right w:val="single" w:sz="4" w:space="0" w:color="000000"/>
            </w:tcBorders>
          </w:tcPr>
          <w:p w:rsidR="00F22E20" w:rsidRDefault="00F22E20" w:rsidP="0098329C"/>
        </w:tc>
      </w:tr>
    </w:tbl>
    <w:p w:rsidR="00F22E20" w:rsidRDefault="00F22E20" w:rsidP="00FC5932"/>
    <w:p w:rsidR="00F22E20" w:rsidRDefault="00F22E20">
      <w:pPr>
        <w:widowControl/>
        <w:autoSpaceDE/>
        <w:autoSpaceDN/>
        <w:adjustRightInd/>
        <w:spacing w:after="200" w:line="276" w:lineRule="auto"/>
      </w:pPr>
      <w:r>
        <w:br w:type="page"/>
      </w:r>
    </w:p>
    <w:p w:rsidR="00FC5932" w:rsidRDefault="00FC5932" w:rsidP="00FC5932">
      <w:pPr>
        <w:sectPr w:rsidR="00FC5932">
          <w:pgSz w:w="11900" w:h="16840"/>
          <w:pgMar w:top="1400" w:right="1680" w:bottom="1060" w:left="1340" w:header="0" w:footer="878" w:gutter="0"/>
          <w:cols w:space="720" w:equalWidth="0">
            <w:col w:w="8880"/>
          </w:cols>
          <w:noEndnote/>
        </w:sectPr>
      </w:pPr>
    </w:p>
    <w:p w:rsidR="00F22E20" w:rsidRPr="00746254" w:rsidRDefault="00F22E20">
      <w:pPr>
        <w:widowControl/>
        <w:autoSpaceDE/>
        <w:autoSpaceDN/>
        <w:adjustRightInd/>
        <w:spacing w:after="200" w:line="276" w:lineRule="auto"/>
        <w:rPr>
          <w:rFonts w:ascii="Arial" w:hAnsi="Arial" w:cs="Arial"/>
          <w:b/>
          <w:bCs/>
          <w:sz w:val="26"/>
          <w:szCs w:val="26"/>
        </w:rPr>
      </w:pPr>
      <w:r w:rsidRPr="00746254">
        <w:rPr>
          <w:rFonts w:ascii="Arial" w:hAnsi="Arial" w:cs="Arial"/>
          <w:b/>
          <w:bCs/>
          <w:sz w:val="26"/>
          <w:szCs w:val="26"/>
        </w:rPr>
        <w:lastRenderedPageBreak/>
        <w:t>Policy Gateway</w:t>
      </w:r>
    </w:p>
    <w:p w:rsidR="00746254" w:rsidRDefault="00746254">
      <w:pPr>
        <w:widowControl/>
        <w:autoSpaceDE/>
        <w:autoSpaceDN/>
        <w:adjustRightInd/>
        <w:spacing w:after="200" w:line="276" w:lineRule="auto"/>
        <w:rPr>
          <w:rFonts w:ascii="Arial" w:hAnsi="Arial" w:cs="Arial"/>
          <w:bCs/>
          <w:szCs w:val="26"/>
        </w:rPr>
      </w:pPr>
      <w:r w:rsidRPr="00746254">
        <w:rPr>
          <w:rFonts w:ascii="Arial" w:hAnsi="Arial" w:cs="Arial"/>
          <w:bCs/>
          <w:szCs w:val="26"/>
        </w:rPr>
        <w:t>Please complete the checklist and tables below to provide assurance around the policy review process</w:t>
      </w:r>
      <w:r>
        <w:rPr>
          <w:rFonts w:ascii="Arial" w:hAnsi="Arial" w:cs="Arial"/>
          <w:bCs/>
          <w:szCs w:val="26"/>
        </w:rPr>
        <w:t>.</w:t>
      </w:r>
    </w:p>
    <w:p w:rsidR="00746254" w:rsidRPr="00BC7323" w:rsidRDefault="00746254" w:rsidP="00746254">
      <w:pPr>
        <w:rPr>
          <w:rFonts w:asciiTheme="minorHAnsi" w:hAnsiTheme="minorHAnsi" w:cs="Andalus"/>
        </w:rPr>
      </w:pPr>
    </w:p>
    <w:tbl>
      <w:tblPr>
        <w:tblW w:w="9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8"/>
      </w:tblGrid>
      <w:tr w:rsidR="00746254" w:rsidRPr="00BC7323">
        <w:trPr>
          <w:trHeight w:val="2847"/>
        </w:trPr>
        <w:tc>
          <w:tcPr>
            <w:tcW w:w="9478" w:type="dxa"/>
          </w:tcPr>
          <w:p w:rsidR="00746254" w:rsidRDefault="00746254" w:rsidP="00DA1DCF">
            <w:pPr>
              <w:rPr>
                <w:rFonts w:ascii="Arial" w:hAnsi="Arial" w:cs="Arial"/>
              </w:rPr>
            </w:pPr>
          </w:p>
          <w:p w:rsidR="00746254" w:rsidRPr="00746254" w:rsidRDefault="008A37DD" w:rsidP="00DA1DCF">
            <w:pPr>
              <w:rPr>
                <w:rFonts w:ascii="Arial" w:hAnsi="Arial" w:cs="Arial"/>
              </w:rPr>
            </w:pPr>
            <w:sdt>
              <w:sdtPr>
                <w:rPr>
                  <w:rFonts w:ascii="Arial" w:hAnsi="Arial" w:cs="Arial"/>
                  <w:sz w:val="22"/>
                </w:rPr>
                <w:id w:val="-440305317"/>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w:t>
            </w:r>
            <w:r w:rsidR="00746254" w:rsidRPr="00746254">
              <w:rPr>
                <w:rFonts w:ascii="Arial" w:hAnsi="Arial" w:cs="Arial"/>
                <w:sz w:val="22"/>
              </w:rPr>
              <w:t xml:space="preserve"> </w:t>
            </w:r>
            <w:r w:rsidR="00746254">
              <w:rPr>
                <w:rFonts w:ascii="Arial" w:hAnsi="Arial" w:cs="Arial"/>
                <w:sz w:val="22"/>
              </w:rPr>
              <w:t>involved everyone who should be consulted about this policy/guidance</w:t>
            </w:r>
          </w:p>
          <w:p w:rsidR="00746254" w:rsidRPr="00746254" w:rsidRDefault="00746254" w:rsidP="00DA1DCF">
            <w:pPr>
              <w:pStyle w:val="ListParagraph"/>
              <w:ind w:left="360"/>
              <w:rPr>
                <w:rFonts w:ascii="Arial" w:hAnsi="Arial" w:cs="Arial"/>
              </w:rPr>
            </w:pPr>
          </w:p>
          <w:p w:rsidR="00746254" w:rsidRPr="00746254" w:rsidRDefault="008A37DD" w:rsidP="00DA1DCF">
            <w:pPr>
              <w:rPr>
                <w:rFonts w:ascii="Arial" w:hAnsi="Arial" w:cs="Arial"/>
              </w:rPr>
            </w:pPr>
            <w:sdt>
              <w:sdtPr>
                <w:rPr>
                  <w:rFonts w:ascii="Arial" w:hAnsi="Arial" w:cs="Arial"/>
                  <w:sz w:val="22"/>
                </w:rPr>
                <w:id w:val="-682132006"/>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w:t>
            </w:r>
            <w:r w:rsidR="00746254" w:rsidRPr="00746254">
              <w:rPr>
                <w:rFonts w:ascii="Arial" w:hAnsi="Arial" w:cs="Arial"/>
                <w:sz w:val="22"/>
              </w:rPr>
              <w:t xml:space="preserve"> target audience for </w:t>
            </w:r>
            <w:r w:rsidR="00746254">
              <w:rPr>
                <w:rFonts w:ascii="Arial" w:hAnsi="Arial" w:cs="Arial"/>
                <w:sz w:val="22"/>
              </w:rPr>
              <w:t>this policy/guidance</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rPr>
                <w:rFonts w:ascii="Arial" w:hAnsi="Arial" w:cs="Arial"/>
              </w:rPr>
            </w:pPr>
          </w:p>
          <w:p w:rsidR="00746254" w:rsidRPr="00746254" w:rsidRDefault="008A37DD" w:rsidP="00DA1DCF">
            <w:pPr>
              <w:rPr>
                <w:rFonts w:ascii="Arial" w:hAnsi="Arial" w:cs="Arial"/>
              </w:rPr>
            </w:pPr>
            <w:sdt>
              <w:sdtPr>
                <w:rPr>
                  <w:rFonts w:ascii="Arial" w:hAnsi="Arial" w:cs="Arial"/>
                  <w:sz w:val="22"/>
                </w:rPr>
                <w:id w:val="12397565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completed the correct template fully and properly</w:t>
            </w:r>
          </w:p>
          <w:p w:rsidR="00746254" w:rsidRPr="00746254" w:rsidRDefault="00746254" w:rsidP="00DA1DCF">
            <w:pPr>
              <w:pStyle w:val="ListParagraph"/>
              <w:rPr>
                <w:rFonts w:ascii="Arial" w:hAnsi="Arial" w:cs="Arial"/>
              </w:rPr>
            </w:pPr>
          </w:p>
          <w:p w:rsidR="00746254" w:rsidRPr="00746254" w:rsidRDefault="008A37DD" w:rsidP="00DA1DCF">
            <w:pPr>
              <w:rPr>
                <w:rFonts w:ascii="Arial" w:hAnsi="Arial" w:cs="Arial"/>
              </w:rPr>
            </w:pPr>
            <w:sdt>
              <w:sdtPr>
                <w:rPr>
                  <w:rFonts w:ascii="Arial" w:hAnsi="Arial" w:cs="Arial"/>
                  <w:sz w:val="22"/>
                </w:rPr>
                <w:id w:val="-1655520743"/>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I have identified the correct approval route for this policy/guidance</w:t>
            </w:r>
            <w:r w:rsidR="00746254" w:rsidRPr="00746254">
              <w:rPr>
                <w:rFonts w:ascii="Arial" w:hAnsi="Arial" w:cs="Arial"/>
                <w:sz w:val="22"/>
              </w:rPr>
              <w:tab/>
            </w:r>
            <w:r w:rsidR="00746254" w:rsidRPr="00746254">
              <w:rPr>
                <w:rFonts w:ascii="Arial" w:hAnsi="Arial" w:cs="Arial"/>
                <w:sz w:val="22"/>
              </w:rPr>
              <w:tab/>
            </w:r>
          </w:p>
          <w:p w:rsidR="00746254" w:rsidRPr="00746254" w:rsidRDefault="00746254" w:rsidP="00DA1DCF">
            <w:pPr>
              <w:ind w:firstLine="5760"/>
              <w:rPr>
                <w:rFonts w:ascii="Arial" w:hAnsi="Arial" w:cs="Arial"/>
              </w:rPr>
            </w:pPr>
          </w:p>
          <w:p w:rsidR="00746254" w:rsidRPr="00BC7323" w:rsidRDefault="008A37DD" w:rsidP="00746254">
            <w:pPr>
              <w:rPr>
                <w:rFonts w:asciiTheme="minorHAnsi" w:hAnsiTheme="minorHAnsi" w:cs="Andalus"/>
              </w:rPr>
            </w:pPr>
            <w:sdt>
              <w:sdtPr>
                <w:rPr>
                  <w:rFonts w:ascii="Arial" w:hAnsi="Arial" w:cs="Arial"/>
                  <w:sz w:val="22"/>
                </w:rPr>
                <w:id w:val="1450054819"/>
              </w:sdtPr>
              <w:sdtEndPr/>
              <w:sdtContent>
                <w:r w:rsidR="00937BAF">
                  <w:rPr>
                    <w:rFonts w:ascii="Apple Symbols" w:eastAsia="Meiryo" w:hAnsi="Apple Symbols" w:cs="Apple Symbols"/>
                    <w:sz w:val="22"/>
                  </w:rPr>
                  <w:t>☒</w:t>
                </w:r>
              </w:sdtContent>
            </w:sdt>
            <w:r w:rsidR="00746254" w:rsidRPr="00746254">
              <w:rPr>
                <w:rFonts w:ascii="Arial" w:hAnsi="Arial" w:cs="Arial"/>
                <w:sz w:val="22"/>
              </w:rPr>
              <w:t xml:space="preserve">  </w:t>
            </w:r>
            <w:r w:rsidR="00746254">
              <w:rPr>
                <w:rFonts w:ascii="Arial" w:hAnsi="Arial" w:cs="Arial"/>
                <w:sz w:val="22"/>
              </w:rPr>
              <w:t xml:space="preserve">I have saved </w:t>
            </w:r>
            <w:r w:rsidR="00746254" w:rsidRPr="00746254">
              <w:rPr>
                <w:rFonts w:ascii="Arial" w:hAnsi="Arial" w:cs="Arial"/>
                <w:sz w:val="22"/>
              </w:rPr>
              <w:t>a word version of th</w:t>
            </w:r>
            <w:r w:rsidR="00746254">
              <w:rPr>
                <w:rFonts w:ascii="Arial" w:hAnsi="Arial" w:cs="Arial"/>
                <w:sz w:val="22"/>
              </w:rPr>
              <w:t>is</w:t>
            </w:r>
            <w:r w:rsidR="00746254" w:rsidRPr="00746254">
              <w:rPr>
                <w:rFonts w:ascii="Arial" w:hAnsi="Arial" w:cs="Arial"/>
                <w:sz w:val="22"/>
              </w:rPr>
              <w:t xml:space="preserve"> policy</w:t>
            </w:r>
            <w:r w:rsidR="00746254">
              <w:rPr>
                <w:rFonts w:ascii="Arial" w:hAnsi="Arial" w:cs="Arial"/>
                <w:sz w:val="22"/>
              </w:rPr>
              <w:t xml:space="preserve">/guidance </w:t>
            </w:r>
            <w:r w:rsidR="00746254" w:rsidRPr="00746254">
              <w:rPr>
                <w:rFonts w:ascii="Arial" w:hAnsi="Arial" w:cs="Arial"/>
                <w:sz w:val="22"/>
              </w:rPr>
              <w:t>for future</w:t>
            </w:r>
            <w:r w:rsidR="00746254">
              <w:rPr>
                <w:rFonts w:ascii="Arial" w:hAnsi="Arial" w:cs="Arial"/>
                <w:sz w:val="22"/>
              </w:rPr>
              <w:t xml:space="preserve"> reviews and reference</w:t>
            </w:r>
            <w:r w:rsidR="00746254" w:rsidRPr="00746254">
              <w:rPr>
                <w:rFonts w:ascii="Arial" w:hAnsi="Arial" w:cs="Arial"/>
                <w:sz w:val="22"/>
              </w:rPr>
              <w:tab/>
            </w:r>
            <w:r w:rsidR="00746254" w:rsidRPr="00746254">
              <w:rPr>
                <w:rFonts w:ascii="Arial" w:hAnsi="Arial" w:cs="Arial"/>
                <w:sz w:val="22"/>
              </w:rPr>
              <w:tab/>
              <w:t xml:space="preserve">              </w:t>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sidRPr="00746254">
              <w:rPr>
                <w:rFonts w:ascii="Arial" w:hAnsi="Arial" w:cs="Arial"/>
                <w:sz w:val="22"/>
              </w:rPr>
              <w:tab/>
            </w:r>
            <w:r w:rsidR="00746254">
              <w:rPr>
                <w:rFonts w:asciiTheme="minorHAnsi" w:hAnsiTheme="minorHAnsi" w:cs="Andalus"/>
              </w:rPr>
              <w:tab/>
            </w:r>
            <w:r w:rsidR="00746254">
              <w:rPr>
                <w:rFonts w:asciiTheme="minorHAnsi" w:hAnsiTheme="minorHAnsi" w:cs="Andalus"/>
              </w:rPr>
              <w:tab/>
            </w:r>
            <w:r w:rsidR="00746254">
              <w:rPr>
                <w:rFonts w:asciiTheme="minorHAnsi" w:hAnsiTheme="minorHAnsi" w:cs="Andalus"/>
              </w:rPr>
              <w:tab/>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746254">
            <w:pPr>
              <w:rPr>
                <w:rFonts w:ascii="Arial" w:hAnsi="Arial" w:cs="Arial"/>
              </w:rPr>
            </w:pPr>
            <w:r w:rsidRPr="00C96A81">
              <w:rPr>
                <w:rFonts w:ascii="Arial" w:hAnsi="Arial" w:cs="Arial"/>
              </w:rPr>
              <w:t>Please set out what makes you an appropriate person to conduct this review:</w:t>
            </w:r>
          </w:p>
        </w:tc>
      </w:tr>
      <w:tr w:rsidR="00746254" w:rsidRPr="00C96A81">
        <w:tc>
          <w:tcPr>
            <w:tcW w:w="9498" w:type="dxa"/>
          </w:tcPr>
          <w:p w:rsidR="00746254" w:rsidRPr="00C96A81" w:rsidRDefault="00676827" w:rsidP="00746254">
            <w:pPr>
              <w:rPr>
                <w:rFonts w:ascii="Arial" w:hAnsi="Arial" w:cs="Arial"/>
              </w:rPr>
            </w:pPr>
            <w:r>
              <w:rPr>
                <w:rFonts w:ascii="Arial" w:hAnsi="Arial" w:cs="Arial"/>
              </w:rPr>
              <w:t xml:space="preserve">Consultant for Adult </w:t>
            </w:r>
            <w:proofErr w:type="spellStart"/>
            <w:r>
              <w:rPr>
                <w:rFonts w:ascii="Arial" w:hAnsi="Arial" w:cs="Arial"/>
              </w:rPr>
              <w:t>Haemoglobinopathy</w:t>
            </w:r>
            <w:proofErr w:type="spellEnd"/>
            <w:r>
              <w:rPr>
                <w:rFonts w:ascii="Arial" w:hAnsi="Arial" w:cs="Arial"/>
              </w:rPr>
              <w:t xml:space="preserve"> service</w:t>
            </w:r>
          </w:p>
        </w:tc>
      </w:tr>
    </w:tbl>
    <w:p w:rsidR="00746254" w:rsidRPr="00C96A81" w:rsidRDefault="00746254" w:rsidP="00746254">
      <w:pPr>
        <w:rPr>
          <w:rFonts w:ascii="Arial" w:hAnsi="Arial" w:cs="Arial"/>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C96A81" w:rsidP="00746254">
            <w:pPr>
              <w:rPr>
                <w:rFonts w:ascii="Arial" w:hAnsi="Arial" w:cs="Arial"/>
              </w:rPr>
            </w:pPr>
            <w:r w:rsidRPr="00C96A81">
              <w:rPr>
                <w:rFonts w:ascii="Arial" w:hAnsi="Arial" w:cs="Arial"/>
              </w:rPr>
              <w:t>Please set out the legislation, guidance and best practice you consulted for this review:</w:t>
            </w:r>
          </w:p>
        </w:tc>
      </w:tr>
      <w:tr w:rsidR="00746254" w:rsidRPr="00C96A81">
        <w:tc>
          <w:tcPr>
            <w:tcW w:w="9498" w:type="dxa"/>
          </w:tcPr>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423D50" w:rsidRPr="009679C6" w:rsidRDefault="00423D50" w:rsidP="00423D50">
            <w:pPr>
              <w:pStyle w:val="Default"/>
              <w:ind w:left="720"/>
              <w:rPr>
                <w:rFonts w:ascii="Arial" w:hAnsi="Arial" w:cs="Arial"/>
                <w:sz w:val="22"/>
                <w:szCs w:val="22"/>
              </w:rPr>
            </w:pPr>
          </w:p>
          <w:p w:rsidR="00423D50" w:rsidRDefault="00423D50" w:rsidP="00423D50">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B03451">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0"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423D50" w:rsidRPr="009679C6" w:rsidRDefault="00423D50" w:rsidP="00423D50">
            <w:pPr>
              <w:pStyle w:val="Default"/>
              <w:rPr>
                <w:rFonts w:ascii="Arial" w:hAnsi="Arial" w:cs="Arial"/>
                <w:sz w:val="22"/>
                <w:szCs w:val="22"/>
              </w:rPr>
            </w:pPr>
          </w:p>
          <w:p w:rsidR="00423D50" w:rsidRPr="00FE5F60" w:rsidRDefault="00423D50" w:rsidP="00423D50">
            <w:pPr>
              <w:pStyle w:val="ListParagraph"/>
              <w:numPr>
                <w:ilvl w:val="0"/>
                <w:numId w:val="14"/>
              </w:numPr>
              <w:rPr>
                <w:rFonts w:ascii="Arial" w:hAnsi="Arial" w:cs="Arial"/>
              </w:rPr>
            </w:pPr>
            <w:r w:rsidRPr="009679C6">
              <w:rPr>
                <w:rFonts w:ascii="Arial" w:hAnsi="Arial" w:cs="Arial"/>
              </w:rPr>
              <w:t xml:space="preserve">British Society Haematology : guidelines </w:t>
            </w:r>
            <w:r w:rsidRPr="009679C6">
              <w:rPr>
                <w:rFonts w:ascii="Arial" w:hAnsi="Arial" w:cs="Arial"/>
                <w:color w:val="000000"/>
              </w:rPr>
              <w:t xml:space="preserve">Red Cell Transfusion in Sickle Cell Disease Part I and Part II (7.11.17 and 18.11.18) </w:t>
            </w:r>
            <w:hyperlink r:id="rId11" w:history="1">
              <w:r w:rsidRPr="009679C6">
                <w:rPr>
                  <w:rStyle w:val="Hyperlink"/>
                  <w:rFonts w:ascii="Arial" w:hAnsi="Arial" w:cs="Arial"/>
                </w:rPr>
                <w:t>https://b-s-h.org.uk/guidelines/guidelines/red-cell-transfusion-in-sickle-cell-disease-part-l/</w:t>
              </w:r>
            </w:hyperlink>
            <w:r w:rsidRPr="009679C6">
              <w:rPr>
                <w:rFonts w:ascii="Arial" w:hAnsi="Arial" w:cs="Arial"/>
                <w:color w:val="000000"/>
              </w:rPr>
              <w:t xml:space="preserve"> </w:t>
            </w:r>
          </w:p>
          <w:p w:rsidR="00423D50" w:rsidRPr="009679C6" w:rsidRDefault="00423D50" w:rsidP="00423D50">
            <w:pPr>
              <w:pStyle w:val="ListParagraph"/>
              <w:ind w:left="720"/>
              <w:rPr>
                <w:rFonts w:ascii="Arial" w:hAnsi="Arial" w:cs="Arial"/>
              </w:rPr>
            </w:pPr>
          </w:p>
          <w:p w:rsidR="00746254" w:rsidRPr="00C96A81" w:rsidRDefault="00746254" w:rsidP="00423D50">
            <w:pPr>
              <w:rPr>
                <w:rFonts w:ascii="Arial" w:hAnsi="Arial" w:cs="Arial"/>
              </w:rPr>
            </w:pPr>
          </w:p>
        </w:tc>
      </w:tr>
    </w:tbl>
    <w:p w:rsidR="00746254" w:rsidRPr="00C96A81" w:rsidRDefault="00746254" w:rsidP="00746254">
      <w:pPr>
        <w:widowControl/>
        <w:autoSpaceDE/>
        <w:autoSpaceDN/>
        <w:adjustRightInd/>
        <w:rPr>
          <w:b/>
          <w:bCs/>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842278" w:rsidRDefault="00746254" w:rsidP="00746254">
            <w:pPr>
              <w:rPr>
                <w:rFonts w:ascii="Arial" w:hAnsi="Arial" w:cs="Arial"/>
              </w:rPr>
            </w:pPr>
            <w:r w:rsidRPr="00842278">
              <w:rPr>
                <w:rFonts w:ascii="Arial" w:hAnsi="Arial" w:cs="Arial"/>
              </w:rPr>
              <w:t>Please identify the key people you involved in reviewing this policy why, and when:</w:t>
            </w:r>
          </w:p>
        </w:tc>
      </w:tr>
      <w:tr w:rsidR="00746254" w:rsidRPr="00A02639">
        <w:tc>
          <w:tcPr>
            <w:tcW w:w="9498" w:type="dxa"/>
          </w:tcPr>
          <w:p w:rsidR="00842278" w:rsidRDefault="00842278" w:rsidP="00842278">
            <w:pPr>
              <w:pStyle w:val="ListParagraph"/>
              <w:numPr>
                <w:ilvl w:val="0"/>
                <w:numId w:val="35"/>
              </w:numPr>
              <w:rPr>
                <w:rFonts w:ascii="Arial" w:hAnsi="Arial" w:cs="Arial"/>
              </w:rPr>
            </w:pPr>
            <w:r w:rsidRPr="00842278">
              <w:rPr>
                <w:rFonts w:ascii="Arial" w:hAnsi="Arial" w:cs="Arial"/>
              </w:rPr>
              <w:t>Kelly Feane – Lead Transfusion Practitioner</w:t>
            </w:r>
          </w:p>
          <w:p w:rsidR="00511E77" w:rsidRPr="00842278" w:rsidRDefault="00511E77" w:rsidP="00842278">
            <w:pPr>
              <w:pStyle w:val="ListParagraph"/>
              <w:numPr>
                <w:ilvl w:val="0"/>
                <w:numId w:val="35"/>
              </w:numPr>
              <w:rPr>
                <w:rFonts w:ascii="Arial" w:hAnsi="Arial" w:cs="Arial"/>
              </w:rPr>
            </w:pPr>
            <w:r>
              <w:rPr>
                <w:rFonts w:ascii="Arial" w:hAnsi="Arial" w:cs="Arial"/>
              </w:rPr>
              <w:t>Dr Elizabeth Rhodes –consultant Haematologist</w:t>
            </w:r>
          </w:p>
        </w:tc>
      </w:tr>
    </w:tbl>
    <w:p w:rsidR="00746254" w:rsidRPr="00A02639" w:rsidRDefault="00746254" w:rsidP="00746254">
      <w:pPr>
        <w:widowControl/>
        <w:autoSpaceDE/>
        <w:autoSpaceDN/>
        <w:adjustRightInd/>
        <w:rPr>
          <w:b/>
          <w:bCs/>
          <w:color w:val="FFFF00"/>
          <w:sz w:val="22"/>
          <w:szCs w:val="22"/>
        </w:rPr>
      </w:pPr>
    </w:p>
    <w:tbl>
      <w:tblPr>
        <w:tblStyle w:val="TableGrid"/>
        <w:tblW w:w="9498" w:type="dxa"/>
        <w:tblInd w:w="-176" w:type="dxa"/>
        <w:tblLook w:val="04A0" w:firstRow="1" w:lastRow="0" w:firstColumn="1" w:lastColumn="0" w:noHBand="0" w:noVBand="1"/>
      </w:tblPr>
      <w:tblGrid>
        <w:gridCol w:w="9498"/>
      </w:tblGrid>
      <w:tr w:rsidR="00746254" w:rsidRPr="00C96A81">
        <w:tc>
          <w:tcPr>
            <w:tcW w:w="9498" w:type="dxa"/>
          </w:tcPr>
          <w:p w:rsidR="00746254" w:rsidRPr="00C96A81" w:rsidRDefault="00746254" w:rsidP="00DA1DCF">
            <w:pPr>
              <w:rPr>
                <w:rFonts w:ascii="Arial" w:hAnsi="Arial" w:cs="Arial"/>
              </w:rPr>
            </w:pPr>
            <w:r w:rsidRPr="00C96A81">
              <w:rPr>
                <w:rFonts w:ascii="Arial" w:hAnsi="Arial" w:cs="Arial"/>
              </w:rPr>
              <w:t>Summarise the key changes you have made and why:</w:t>
            </w:r>
          </w:p>
        </w:tc>
      </w:tr>
      <w:tr w:rsidR="00746254" w:rsidRPr="00C96A81">
        <w:tc>
          <w:tcPr>
            <w:tcW w:w="9498" w:type="dxa"/>
          </w:tcPr>
          <w:p w:rsidR="00B3284E" w:rsidRPr="00C96A81" w:rsidRDefault="00511E77" w:rsidP="00423D50">
            <w:pPr>
              <w:rPr>
                <w:rFonts w:ascii="Arial" w:hAnsi="Arial" w:cs="Arial"/>
              </w:rPr>
            </w:pPr>
            <w:r>
              <w:rPr>
                <w:rFonts w:ascii="Arial" w:hAnsi="Arial" w:cs="Arial"/>
              </w:rPr>
              <w:t>New Guideline</w:t>
            </w:r>
          </w:p>
        </w:tc>
      </w:tr>
    </w:tbl>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b/>
          <w:bCs/>
          <w:sz w:val="26"/>
          <w:szCs w:val="26"/>
        </w:rPr>
      </w:pPr>
    </w:p>
    <w:p w:rsidR="00746254" w:rsidRDefault="00746254">
      <w:pPr>
        <w:widowControl/>
        <w:autoSpaceDE/>
        <w:autoSpaceDN/>
        <w:adjustRightInd/>
        <w:spacing w:after="200" w:line="276" w:lineRule="auto"/>
        <w:rPr>
          <w:rFonts w:ascii="Arial" w:hAnsi="Arial" w:cs="Arial"/>
          <w:b/>
          <w:bCs/>
          <w:sz w:val="26"/>
          <w:szCs w:val="26"/>
        </w:rPr>
      </w:pPr>
      <w:r>
        <w:rPr>
          <w:b/>
          <w:bCs/>
          <w:sz w:val="26"/>
          <w:szCs w:val="26"/>
        </w:rPr>
        <w:br w:type="page"/>
      </w:r>
    </w:p>
    <w:p w:rsidR="00FC5932" w:rsidRPr="00374469" w:rsidRDefault="00FC5932" w:rsidP="00746254">
      <w:pPr>
        <w:pStyle w:val="BodyText"/>
        <w:kinsoku w:val="0"/>
        <w:overflowPunct w:val="0"/>
        <w:spacing w:before="38"/>
        <w:ind w:left="0" w:right="873"/>
        <w:rPr>
          <w:b/>
          <w:bCs/>
        </w:rPr>
      </w:pPr>
      <w:r w:rsidRPr="002D16C0">
        <w:rPr>
          <w:b/>
          <w:bCs/>
        </w:rPr>
        <w:lastRenderedPageBreak/>
        <w:t>Executive</w:t>
      </w:r>
      <w:r w:rsidRPr="002D16C0">
        <w:rPr>
          <w:b/>
          <w:bCs/>
          <w:spacing w:val="-14"/>
        </w:rPr>
        <w:t xml:space="preserve"> </w:t>
      </w:r>
      <w:r w:rsidRPr="002D16C0">
        <w:rPr>
          <w:b/>
          <w:bCs/>
        </w:rPr>
        <w:t>Summary</w:t>
      </w:r>
    </w:p>
    <w:p w:rsidR="00374469" w:rsidRPr="00374469" w:rsidRDefault="00374469" w:rsidP="00746254">
      <w:pPr>
        <w:pStyle w:val="BodyText"/>
        <w:kinsoku w:val="0"/>
        <w:overflowPunct w:val="0"/>
        <w:spacing w:before="38"/>
        <w:ind w:left="0" w:right="873"/>
      </w:pP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is a well-recognized but rare complication of blood transfusion in patients with </w:t>
      </w:r>
      <w:proofErr w:type="spellStart"/>
      <w:r w:rsidRPr="00511E77">
        <w:rPr>
          <w:rFonts w:ascii="Arial" w:eastAsia="Times New Roman" w:hAnsi="Arial" w:cs="Arial"/>
          <w:sz w:val="22"/>
          <w:szCs w:val="22"/>
        </w:rPr>
        <w:t>Haemoglobinopathies</w:t>
      </w:r>
      <w:proofErr w:type="spellEnd"/>
      <w:r w:rsidRPr="00511E77">
        <w:rPr>
          <w:rFonts w:ascii="Arial" w:eastAsia="Times New Roman" w:hAnsi="Arial" w:cs="Arial"/>
          <w:sz w:val="22"/>
          <w:szCs w:val="22"/>
        </w:rPr>
        <w:t xml:space="preserve"> (Sickle Cell Disease and </w:t>
      </w:r>
      <w:proofErr w:type="spellStart"/>
      <w:r w:rsidRPr="00511E77">
        <w:rPr>
          <w:rFonts w:ascii="Arial" w:eastAsia="Times New Roman" w:hAnsi="Arial" w:cs="Arial"/>
          <w:sz w:val="22"/>
          <w:szCs w:val="22"/>
        </w:rPr>
        <w:t>Thalassaemia</w:t>
      </w:r>
      <w:proofErr w:type="spellEnd"/>
      <w:r w:rsidRPr="00511E77">
        <w:rPr>
          <w:rFonts w:ascii="Arial" w:eastAsia="Times New Roman" w:hAnsi="Arial" w:cs="Arial"/>
          <w:sz w:val="22"/>
          <w:szCs w:val="22"/>
        </w:rPr>
        <w:t>).</w:t>
      </w:r>
    </w:p>
    <w:p w:rsid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It is characterised by rapid haemolysis following a blood transfusion, and the post-transfusion haemoglobin (</w:t>
      </w:r>
      <w:proofErr w:type="spellStart"/>
      <w:r w:rsidRPr="00511E77">
        <w:rPr>
          <w:rFonts w:ascii="Arial" w:eastAsia="Times New Roman" w:hAnsi="Arial" w:cs="Arial"/>
          <w:sz w:val="22"/>
          <w:szCs w:val="22"/>
        </w:rPr>
        <w:t>Hb</w:t>
      </w:r>
      <w:proofErr w:type="spellEnd"/>
      <w:r w:rsidRPr="00511E77">
        <w:rPr>
          <w:rFonts w:ascii="Arial" w:eastAsia="Times New Roman" w:hAnsi="Arial" w:cs="Arial"/>
          <w:sz w:val="22"/>
          <w:szCs w:val="22"/>
        </w:rPr>
        <w:t xml:space="preserve">) will often be lower than the pre-transfusion </w:t>
      </w:r>
      <w:proofErr w:type="spellStart"/>
      <w:r w:rsidRPr="00511E77">
        <w:rPr>
          <w:rFonts w:ascii="Arial" w:eastAsia="Times New Roman" w:hAnsi="Arial" w:cs="Arial"/>
          <w:sz w:val="22"/>
          <w:szCs w:val="22"/>
        </w:rPr>
        <w:t>Hb</w:t>
      </w:r>
      <w:proofErr w:type="spellEnd"/>
      <w:r w:rsidRPr="00511E77">
        <w:rPr>
          <w:rFonts w:ascii="Arial" w:eastAsia="Times New Roman" w:hAnsi="Arial" w:cs="Arial"/>
          <w:sz w:val="22"/>
          <w:szCs w:val="22"/>
        </w:rPr>
        <w:t>, implying the destruction of recipient as well as donor red blood cells (RBCs).</w:t>
      </w:r>
    </w:p>
    <w:p w:rsidR="00511E77" w:rsidRDefault="00511E77" w:rsidP="00511E77">
      <w:pPr>
        <w:widowControl/>
        <w:autoSpaceDE/>
        <w:autoSpaceDN/>
        <w:adjustRightInd/>
        <w:jc w:val="both"/>
        <w:rPr>
          <w:rFonts w:ascii="Arial" w:eastAsia="Times New Roman" w:hAnsi="Arial" w:cs="Arial"/>
          <w:sz w:val="22"/>
          <w:szCs w:val="22"/>
        </w:rPr>
      </w:pPr>
    </w:p>
    <w:p w:rsidR="00B03451" w:rsidRPr="00511E77" w:rsidRDefault="00511E77" w:rsidP="00511E77">
      <w:pPr>
        <w:widowControl/>
        <w:autoSpaceDE/>
        <w:autoSpaceDN/>
        <w:adjustRightInd/>
        <w:jc w:val="both"/>
        <w:rPr>
          <w:rFonts w:ascii="Arial" w:hAnsi="Arial" w:cs="Arial"/>
        </w:rPr>
      </w:pPr>
      <w:r w:rsidRPr="00511E77">
        <w:rPr>
          <w:rFonts w:ascii="Arial" w:eastAsia="Times New Roman" w:hAnsi="Arial" w:cs="Arial"/>
          <w:sz w:val="22"/>
          <w:szCs w:val="22"/>
        </w:rPr>
        <w:t>This Guideline describes the management of this complication, including the use of immunoglobulin which is a blue indication according to the Department of Health Clinical Guidelines for Immunoglobulin Use.</w:t>
      </w: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B03451" w:rsidRDefault="00B03451" w:rsidP="00FC5932">
      <w:pPr>
        <w:pStyle w:val="BodyText"/>
        <w:kinsoku w:val="0"/>
        <w:overflowPunct w:val="0"/>
        <w:spacing w:before="55"/>
        <w:ind w:left="0" w:right="2136"/>
      </w:pPr>
    </w:p>
    <w:p w:rsidR="007C4CC5" w:rsidRPr="007C4CC5" w:rsidRDefault="007C4CC5" w:rsidP="007C4CC5"/>
    <w:p w:rsidR="00802AE5" w:rsidRDefault="00802AE5">
      <w:pPr>
        <w:widowControl/>
        <w:autoSpaceDE/>
        <w:autoSpaceDN/>
        <w:adjustRightInd/>
        <w:spacing w:after="200" w:line="276" w:lineRule="auto"/>
        <w:rPr>
          <w:rFonts w:ascii="Arial" w:hAnsi="Arial" w:cs="Arial"/>
          <w:b/>
          <w:bCs/>
          <w:sz w:val="22"/>
          <w:szCs w:val="22"/>
        </w:rPr>
      </w:pPr>
    </w:p>
    <w:p w:rsidR="007C4CC5" w:rsidRPr="00511E77" w:rsidRDefault="00511E77" w:rsidP="00511E77">
      <w:pPr>
        <w:widowControl/>
        <w:autoSpaceDE/>
        <w:autoSpaceDN/>
        <w:adjustRightInd/>
        <w:spacing w:after="200" w:line="276" w:lineRule="auto"/>
        <w:rPr>
          <w:rFonts w:ascii="Arial" w:hAnsi="Arial" w:cs="Arial"/>
          <w:b/>
          <w:sz w:val="22"/>
          <w:szCs w:val="22"/>
        </w:rPr>
      </w:pPr>
      <w:r>
        <w:rPr>
          <w:rFonts w:ascii="Arial" w:hAnsi="Arial" w:cs="Arial"/>
          <w:b/>
          <w:sz w:val="22"/>
          <w:szCs w:val="22"/>
        </w:rPr>
        <w:t xml:space="preserve">1.0 </w:t>
      </w:r>
      <w:r w:rsidRPr="00511E77">
        <w:rPr>
          <w:rFonts w:ascii="Arial" w:hAnsi="Arial" w:cs="Arial"/>
          <w:b/>
          <w:sz w:val="22"/>
          <w:szCs w:val="22"/>
        </w:rPr>
        <w:t>In</w:t>
      </w:r>
      <w:r w:rsidR="007C4CC5" w:rsidRPr="00511E77">
        <w:rPr>
          <w:rFonts w:ascii="Arial" w:hAnsi="Arial" w:cs="Arial"/>
          <w:b/>
          <w:sz w:val="22"/>
          <w:szCs w:val="22"/>
        </w:rPr>
        <w:t>troduction</w:t>
      </w:r>
    </w:p>
    <w:p w:rsidR="00802AE5" w:rsidRPr="00511E77" w:rsidRDefault="00802AE5" w:rsidP="00802AE5">
      <w:pPr>
        <w:rPr>
          <w:rFonts w:ascii="Arial" w:hAnsi="Arial" w:cs="Arial"/>
        </w:rPr>
      </w:pP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is a well-recognized but rare complication of blood transfusion in patients with </w:t>
      </w:r>
      <w:proofErr w:type="spellStart"/>
      <w:r w:rsidRPr="00511E77">
        <w:rPr>
          <w:rFonts w:ascii="Arial" w:eastAsia="Times New Roman" w:hAnsi="Arial" w:cs="Arial"/>
          <w:sz w:val="22"/>
          <w:szCs w:val="22"/>
        </w:rPr>
        <w:t>Haemoglobinopathies</w:t>
      </w:r>
      <w:proofErr w:type="spellEnd"/>
      <w:r w:rsidRPr="00511E77">
        <w:rPr>
          <w:rFonts w:ascii="Arial" w:eastAsia="Times New Roman" w:hAnsi="Arial" w:cs="Arial"/>
          <w:sz w:val="22"/>
          <w:szCs w:val="22"/>
        </w:rPr>
        <w:t xml:space="preserve"> (Sickle Cell Disease and </w:t>
      </w:r>
      <w:proofErr w:type="spellStart"/>
      <w:r w:rsidRPr="00511E77">
        <w:rPr>
          <w:rFonts w:ascii="Arial" w:eastAsia="Times New Roman" w:hAnsi="Arial" w:cs="Arial"/>
          <w:sz w:val="22"/>
          <w:szCs w:val="22"/>
        </w:rPr>
        <w:t>Thalassaemia</w:t>
      </w:r>
      <w:proofErr w:type="spellEnd"/>
      <w:r w:rsidRPr="00511E77">
        <w:rPr>
          <w:rFonts w:ascii="Arial" w:eastAsia="Times New Roman" w:hAnsi="Arial" w:cs="Arial"/>
          <w:sz w:val="22"/>
          <w:szCs w:val="22"/>
        </w:rPr>
        <w:t>).</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It is characterised by rapid haemolysis following a blood transfusion, and the post-transfusion haemoglobin (</w:t>
      </w:r>
      <w:proofErr w:type="spellStart"/>
      <w:r w:rsidRPr="00511E77">
        <w:rPr>
          <w:rFonts w:ascii="Arial" w:eastAsia="Times New Roman" w:hAnsi="Arial" w:cs="Arial"/>
          <w:sz w:val="22"/>
          <w:szCs w:val="22"/>
        </w:rPr>
        <w:t>Hb</w:t>
      </w:r>
      <w:proofErr w:type="spellEnd"/>
      <w:r w:rsidRPr="00511E77">
        <w:rPr>
          <w:rFonts w:ascii="Arial" w:eastAsia="Times New Roman" w:hAnsi="Arial" w:cs="Arial"/>
          <w:sz w:val="22"/>
          <w:szCs w:val="22"/>
        </w:rPr>
        <w:t xml:space="preserve">) will often be lower than the pre-transfusion </w:t>
      </w:r>
      <w:proofErr w:type="spellStart"/>
      <w:r w:rsidRPr="00511E77">
        <w:rPr>
          <w:rFonts w:ascii="Arial" w:eastAsia="Times New Roman" w:hAnsi="Arial" w:cs="Arial"/>
          <w:sz w:val="22"/>
          <w:szCs w:val="22"/>
        </w:rPr>
        <w:t>Hb</w:t>
      </w:r>
      <w:proofErr w:type="spellEnd"/>
      <w:r w:rsidRPr="00511E77">
        <w:rPr>
          <w:rFonts w:ascii="Arial" w:eastAsia="Times New Roman" w:hAnsi="Arial" w:cs="Arial"/>
          <w:sz w:val="22"/>
          <w:szCs w:val="22"/>
        </w:rPr>
        <w:t>, implying the destruction of recipient as well as donor red blood cells (RBCs).</w:t>
      </w:r>
    </w:p>
    <w:p w:rsidR="00511E77" w:rsidRPr="00511E77" w:rsidRDefault="00511E77" w:rsidP="00511E77">
      <w:pPr>
        <w:widowControl/>
        <w:autoSpaceDE/>
        <w:autoSpaceDN/>
        <w:adjustRightInd/>
        <w:jc w:val="both"/>
        <w:rPr>
          <w:rFonts w:ascii="Arial" w:eastAsia="Times New Roman" w:hAnsi="Arial" w:cs="Arial"/>
          <w:b/>
          <w:sz w:val="22"/>
          <w:szCs w:val="22"/>
        </w:rPr>
      </w:pPr>
      <w:r w:rsidRPr="00511E77">
        <w:rPr>
          <w:rFonts w:ascii="Arial" w:eastAsia="Times New Roman" w:hAnsi="Arial" w:cs="Arial"/>
          <w:sz w:val="22"/>
          <w:szCs w:val="22"/>
        </w:rPr>
        <w:t>This Guideline describes the management of this complication, including the use of immunoglobulin which is a blue indication according to the Department of Health Clinical Guidelines for Immunoglobulin Use.</w:t>
      </w:r>
    </w:p>
    <w:p w:rsidR="002D16C0" w:rsidRDefault="002D16C0" w:rsidP="002D16C0">
      <w:pPr>
        <w:pStyle w:val="BodyText"/>
        <w:kinsoku w:val="0"/>
        <w:overflowPunct w:val="0"/>
        <w:spacing w:before="55"/>
        <w:ind w:left="0" w:right="2136"/>
        <w:jc w:val="both"/>
      </w:pPr>
    </w:p>
    <w:p w:rsidR="002D16C0" w:rsidRPr="003B6573" w:rsidRDefault="002D16C0" w:rsidP="002D16C0">
      <w:pPr>
        <w:rPr>
          <w:rFonts w:ascii="Arial" w:hAnsi="Arial" w:cs="Arial"/>
          <w:sz w:val="22"/>
          <w:szCs w:val="22"/>
        </w:rPr>
      </w:pPr>
      <w:r w:rsidRPr="003B6573">
        <w:rPr>
          <w:rFonts w:ascii="Arial" w:hAnsi="Arial" w:cs="Arial"/>
          <w:sz w:val="22"/>
          <w:szCs w:val="22"/>
        </w:rPr>
        <w:t xml:space="preserve">These guidelines should be used in conjunction with the St George’s University Hospitals NHS Blood Transfusion Policy </w:t>
      </w:r>
      <w:hyperlink r:id="rId12" w:history="1">
        <w:r w:rsidRPr="003B6573">
          <w:rPr>
            <w:rStyle w:val="Hyperlink"/>
            <w:rFonts w:ascii="Arial" w:hAnsi="Arial" w:cs="Arial"/>
            <w:sz w:val="22"/>
            <w:szCs w:val="22"/>
          </w:rPr>
          <w:t>http://stg1wordpress01/wordpress/wp-content/uploads/2016/06/Blood-Transfusion-Adults.pdf</w:t>
        </w:r>
      </w:hyperlink>
      <w:r w:rsidRPr="003B6573">
        <w:rPr>
          <w:rFonts w:ascii="Arial" w:hAnsi="Arial" w:cs="Arial"/>
          <w:sz w:val="22"/>
          <w:szCs w:val="22"/>
        </w:rPr>
        <w:t xml:space="preserve"> </w:t>
      </w:r>
    </w:p>
    <w:p w:rsidR="002D16C0" w:rsidRPr="00B03451" w:rsidRDefault="002D16C0" w:rsidP="002D16C0">
      <w:pPr>
        <w:pStyle w:val="BodyText"/>
        <w:kinsoku w:val="0"/>
        <w:overflowPunct w:val="0"/>
        <w:spacing w:before="55"/>
        <w:ind w:left="0" w:right="2136"/>
        <w:jc w:val="both"/>
      </w:pPr>
    </w:p>
    <w:p w:rsidR="002D16C0" w:rsidRPr="00802AE5" w:rsidRDefault="002D16C0" w:rsidP="00802AE5"/>
    <w:p w:rsidR="00ED74C8" w:rsidRPr="00B3284E" w:rsidRDefault="00ED74C8" w:rsidP="007C4CC5">
      <w:pPr>
        <w:pStyle w:val="Heading2"/>
        <w:numPr>
          <w:ilvl w:val="0"/>
          <w:numId w:val="1"/>
        </w:numPr>
        <w:tabs>
          <w:tab w:val="left" w:pos="640"/>
        </w:tabs>
        <w:kinsoku w:val="0"/>
        <w:overflowPunct w:val="0"/>
        <w:spacing w:line="276" w:lineRule="exact"/>
        <w:ind w:left="639" w:right="1" w:hanging="539"/>
        <w:rPr>
          <w:b w:val="0"/>
          <w:bCs w:val="0"/>
          <w:i/>
          <w:sz w:val="20"/>
          <w:szCs w:val="20"/>
        </w:rPr>
      </w:pPr>
      <w:r w:rsidRPr="00B3284E">
        <w:rPr>
          <w:i/>
          <w:sz w:val="20"/>
          <w:szCs w:val="20"/>
        </w:rPr>
        <w:t>Status and Purpose</w:t>
      </w:r>
    </w:p>
    <w:p w:rsidR="00ED74C8" w:rsidRPr="00B3284E" w:rsidRDefault="00ED74C8" w:rsidP="007C4CC5">
      <w:pPr>
        <w:pStyle w:val="BodyText"/>
        <w:kinsoku w:val="0"/>
        <w:overflowPunct w:val="0"/>
        <w:spacing w:line="253" w:lineRule="exact"/>
        <w:ind w:left="0"/>
        <w:jc w:val="both"/>
        <w:rPr>
          <w:i/>
          <w:sz w:val="20"/>
          <w:szCs w:val="20"/>
        </w:rPr>
      </w:pPr>
    </w:p>
    <w:p w:rsidR="00ED74C8" w:rsidRPr="00B3284E" w:rsidRDefault="00ED74C8" w:rsidP="00ED74C8">
      <w:pPr>
        <w:pStyle w:val="BodyText"/>
        <w:kinsoku w:val="0"/>
        <w:overflowPunct w:val="0"/>
        <w:spacing w:line="253" w:lineRule="exact"/>
        <w:jc w:val="both"/>
        <w:rPr>
          <w:i/>
          <w:sz w:val="20"/>
          <w:szCs w:val="20"/>
        </w:rPr>
      </w:pPr>
      <w:r w:rsidRPr="00B3284E">
        <w:rPr>
          <w:i/>
          <w:sz w:val="20"/>
          <w:szCs w:val="20"/>
        </w:rPr>
        <w:t xml:space="preserve">This document is part of the Haematology Department’s guidelines on the management of patients with SCD and is applicable to all staff involved in the care of these patients. </w:t>
      </w:r>
    </w:p>
    <w:p w:rsidR="00ED74C8" w:rsidRPr="00B3284E" w:rsidRDefault="00ED74C8" w:rsidP="00ED74C8">
      <w:pPr>
        <w:pStyle w:val="BodyText"/>
        <w:kinsoku w:val="0"/>
        <w:overflowPunct w:val="0"/>
        <w:spacing w:line="253" w:lineRule="exact"/>
        <w:jc w:val="both"/>
        <w:rPr>
          <w:i/>
          <w:sz w:val="20"/>
          <w:szCs w:val="20"/>
        </w:rPr>
      </w:pPr>
    </w:p>
    <w:p w:rsidR="00ED74C8" w:rsidRPr="00B3284E" w:rsidRDefault="00ED74C8" w:rsidP="00ED74C8">
      <w:pPr>
        <w:pStyle w:val="Heading2"/>
        <w:numPr>
          <w:ilvl w:val="0"/>
          <w:numId w:val="1"/>
        </w:numPr>
        <w:tabs>
          <w:tab w:val="left" w:pos="636"/>
        </w:tabs>
        <w:kinsoku w:val="0"/>
        <w:overflowPunct w:val="0"/>
        <w:spacing w:line="275" w:lineRule="exact"/>
        <w:ind w:left="635" w:right="1"/>
        <w:rPr>
          <w:b w:val="0"/>
          <w:bCs w:val="0"/>
          <w:i/>
          <w:sz w:val="20"/>
          <w:szCs w:val="20"/>
        </w:rPr>
      </w:pPr>
      <w:r w:rsidRPr="00B3284E">
        <w:rPr>
          <w:i/>
          <w:sz w:val="20"/>
          <w:szCs w:val="20"/>
        </w:rPr>
        <w:t>Definitions</w:t>
      </w:r>
    </w:p>
    <w:p w:rsidR="00ED74C8" w:rsidRPr="00B3284E" w:rsidRDefault="00ED74C8" w:rsidP="00ED74C8">
      <w:pPr>
        <w:pStyle w:val="BodyText"/>
        <w:kinsoku w:val="0"/>
        <w:overflowPunct w:val="0"/>
        <w:ind w:right="1"/>
        <w:rPr>
          <w:i/>
          <w:sz w:val="20"/>
          <w:szCs w:val="20"/>
        </w:rPr>
      </w:pPr>
      <w:r w:rsidRPr="00B3284E">
        <w:rPr>
          <w:i/>
          <w:sz w:val="20"/>
          <w:szCs w:val="20"/>
        </w:rPr>
        <w:t>Sickl</w:t>
      </w:r>
      <w:r w:rsidR="007C4CC5" w:rsidRPr="00B3284E">
        <w:rPr>
          <w:i/>
          <w:sz w:val="20"/>
          <w:szCs w:val="20"/>
        </w:rPr>
        <w:t>e Cell Disease – inherited life</w:t>
      </w:r>
      <w:r w:rsidRPr="00B3284E">
        <w:rPr>
          <w:i/>
          <w:sz w:val="20"/>
          <w:szCs w:val="20"/>
        </w:rPr>
        <w:t>long condition d</w:t>
      </w:r>
      <w:r w:rsidR="007C4CC5" w:rsidRPr="00B3284E">
        <w:rPr>
          <w:i/>
          <w:sz w:val="20"/>
          <w:szCs w:val="20"/>
        </w:rPr>
        <w:t>ue to abnormal haemoglobin varia</w:t>
      </w:r>
      <w:r w:rsidRPr="00B3284E">
        <w:rPr>
          <w:i/>
          <w:sz w:val="20"/>
          <w:szCs w:val="20"/>
        </w:rPr>
        <w:t>nt</w:t>
      </w:r>
      <w:r w:rsidR="008663ED" w:rsidRPr="00B3284E">
        <w:rPr>
          <w:i/>
          <w:sz w:val="20"/>
          <w:szCs w:val="20"/>
        </w:rPr>
        <w:t>.</w:t>
      </w:r>
    </w:p>
    <w:p w:rsidR="00ED74C8" w:rsidRPr="00B3284E" w:rsidRDefault="00ED74C8" w:rsidP="00ED74C8">
      <w:pPr>
        <w:pStyle w:val="BodyText"/>
        <w:kinsoku w:val="0"/>
        <w:overflowPunct w:val="0"/>
        <w:spacing w:before="1"/>
        <w:ind w:left="0"/>
        <w:rPr>
          <w:i/>
          <w:sz w:val="20"/>
          <w:szCs w:val="20"/>
        </w:rPr>
      </w:pPr>
    </w:p>
    <w:p w:rsidR="00ED74C8" w:rsidRPr="00B3284E" w:rsidRDefault="00ED74C8" w:rsidP="00ED74C8">
      <w:pPr>
        <w:pStyle w:val="Heading2"/>
        <w:numPr>
          <w:ilvl w:val="0"/>
          <w:numId w:val="1"/>
        </w:numPr>
        <w:tabs>
          <w:tab w:val="left" w:pos="636"/>
        </w:tabs>
        <w:kinsoku w:val="0"/>
        <w:overflowPunct w:val="0"/>
        <w:ind w:left="635" w:right="1"/>
        <w:rPr>
          <w:b w:val="0"/>
          <w:bCs w:val="0"/>
          <w:i/>
          <w:sz w:val="20"/>
          <w:szCs w:val="20"/>
        </w:rPr>
      </w:pPr>
      <w:r w:rsidRPr="00B3284E">
        <w:rPr>
          <w:i/>
          <w:sz w:val="20"/>
          <w:szCs w:val="20"/>
        </w:rPr>
        <w:t>Scope</w:t>
      </w:r>
    </w:p>
    <w:p w:rsidR="00ED74C8" w:rsidRPr="00B3284E" w:rsidRDefault="00ED74C8" w:rsidP="00ED74C8">
      <w:pPr>
        <w:pStyle w:val="BodyText"/>
        <w:kinsoku w:val="0"/>
        <w:overflowPunct w:val="0"/>
        <w:jc w:val="both"/>
        <w:rPr>
          <w:i/>
          <w:sz w:val="20"/>
          <w:szCs w:val="20"/>
        </w:rPr>
      </w:pPr>
      <w:r w:rsidRPr="00B3284E">
        <w:rPr>
          <w:i/>
          <w:sz w:val="20"/>
          <w:szCs w:val="20"/>
        </w:rPr>
        <w:t xml:space="preserve">This guideline is relevant to the care of patients with SCD </w:t>
      </w:r>
      <w:r w:rsidR="007C4CC5" w:rsidRPr="00B3284E">
        <w:rPr>
          <w:i/>
          <w:sz w:val="20"/>
          <w:szCs w:val="20"/>
        </w:rPr>
        <w:t xml:space="preserve">requiring elective and emergency surgery at </w:t>
      </w:r>
      <w:proofErr w:type="spellStart"/>
      <w:r w:rsidR="007C4CC5" w:rsidRPr="00B3284E">
        <w:rPr>
          <w:i/>
          <w:sz w:val="20"/>
          <w:szCs w:val="20"/>
        </w:rPr>
        <w:t>St.George’s</w:t>
      </w:r>
      <w:proofErr w:type="spellEnd"/>
      <w:r w:rsidR="007C4CC5" w:rsidRPr="00B3284E">
        <w:rPr>
          <w:i/>
          <w:sz w:val="20"/>
          <w:szCs w:val="20"/>
        </w:rPr>
        <w:t>.</w:t>
      </w:r>
    </w:p>
    <w:p w:rsidR="00ED74C8" w:rsidRPr="00B3284E" w:rsidRDefault="00ED74C8" w:rsidP="00ED74C8">
      <w:pPr>
        <w:pStyle w:val="BodyText"/>
        <w:kinsoku w:val="0"/>
        <w:overflowPunct w:val="0"/>
        <w:spacing w:before="5"/>
        <w:ind w:left="0"/>
        <w:rPr>
          <w:i/>
          <w:sz w:val="20"/>
          <w:szCs w:val="20"/>
        </w:rPr>
      </w:pPr>
    </w:p>
    <w:p w:rsidR="00ED74C8" w:rsidRPr="00B3284E" w:rsidRDefault="00ED74C8" w:rsidP="00ED74C8">
      <w:pPr>
        <w:pStyle w:val="Heading2"/>
        <w:numPr>
          <w:ilvl w:val="0"/>
          <w:numId w:val="1"/>
        </w:numPr>
        <w:tabs>
          <w:tab w:val="left" w:pos="640"/>
        </w:tabs>
        <w:kinsoku w:val="0"/>
        <w:overflowPunct w:val="0"/>
        <w:spacing w:line="276" w:lineRule="exact"/>
        <w:ind w:left="639" w:right="1" w:hanging="539"/>
        <w:rPr>
          <w:b w:val="0"/>
          <w:bCs w:val="0"/>
          <w:i/>
          <w:sz w:val="20"/>
          <w:szCs w:val="20"/>
        </w:rPr>
      </w:pPr>
      <w:r w:rsidRPr="00B3284E">
        <w:rPr>
          <w:i/>
          <w:sz w:val="20"/>
          <w:szCs w:val="20"/>
        </w:rPr>
        <w:t>Roles and</w:t>
      </w:r>
      <w:r w:rsidRPr="00B3284E">
        <w:rPr>
          <w:i/>
          <w:spacing w:val="-1"/>
          <w:sz w:val="20"/>
          <w:szCs w:val="20"/>
        </w:rPr>
        <w:t xml:space="preserve"> </w:t>
      </w:r>
      <w:r w:rsidRPr="00B3284E">
        <w:rPr>
          <w:i/>
          <w:sz w:val="20"/>
          <w:szCs w:val="20"/>
        </w:rPr>
        <w:t>Responsibilities</w:t>
      </w:r>
    </w:p>
    <w:p w:rsidR="00ED74C8" w:rsidRPr="00B3284E" w:rsidRDefault="00ED74C8" w:rsidP="00ED74C8">
      <w:pPr>
        <w:pStyle w:val="BodyText"/>
        <w:kinsoku w:val="0"/>
        <w:overflowPunct w:val="0"/>
        <w:spacing w:before="2"/>
        <w:ind w:left="0"/>
        <w:rPr>
          <w:i/>
          <w:sz w:val="20"/>
          <w:szCs w:val="20"/>
        </w:rPr>
      </w:pPr>
    </w:p>
    <w:p w:rsidR="00ED74C8" w:rsidRPr="00B3284E" w:rsidRDefault="00ED74C8" w:rsidP="00ED74C8">
      <w:pPr>
        <w:pStyle w:val="Heading3"/>
        <w:kinsoku w:val="0"/>
        <w:overflowPunct w:val="0"/>
        <w:ind w:left="640"/>
        <w:jc w:val="both"/>
        <w:rPr>
          <w:b w:val="0"/>
          <w:bCs w:val="0"/>
          <w:i/>
          <w:sz w:val="20"/>
          <w:szCs w:val="20"/>
        </w:rPr>
      </w:pPr>
      <w:r w:rsidRPr="00B3284E">
        <w:rPr>
          <w:i/>
          <w:sz w:val="20"/>
          <w:szCs w:val="20"/>
        </w:rPr>
        <w:t xml:space="preserve">5.1 </w:t>
      </w:r>
      <w:proofErr w:type="spellStart"/>
      <w:r w:rsidRPr="00B3284E">
        <w:rPr>
          <w:i/>
          <w:sz w:val="20"/>
          <w:szCs w:val="20"/>
        </w:rPr>
        <w:t>Haemoglobinopathy</w:t>
      </w:r>
      <w:proofErr w:type="spellEnd"/>
      <w:r w:rsidRPr="00B3284E">
        <w:rPr>
          <w:i/>
          <w:sz w:val="20"/>
          <w:szCs w:val="20"/>
        </w:rPr>
        <w:t xml:space="preserve"> team (Consultant haematologists, Clinical Nurse Specialist and Clinical Health Psychologist) </w:t>
      </w:r>
      <w:r w:rsidRPr="00B3284E">
        <w:rPr>
          <w:b w:val="0"/>
          <w:i/>
          <w:sz w:val="20"/>
          <w:szCs w:val="20"/>
        </w:rPr>
        <w:t>– Responsible for the care of these patients, developing and updating guidelines to be reflective of good practice and to deliver the training to ensure good safe care</w:t>
      </w:r>
      <w:r w:rsidR="007C4CC5" w:rsidRPr="00B3284E">
        <w:rPr>
          <w:b w:val="0"/>
          <w:i/>
          <w:sz w:val="20"/>
          <w:szCs w:val="20"/>
        </w:rPr>
        <w:t>.</w:t>
      </w:r>
    </w:p>
    <w:p w:rsidR="00ED74C8" w:rsidRPr="00B3284E" w:rsidRDefault="00ED74C8" w:rsidP="00ED74C8">
      <w:pPr>
        <w:pStyle w:val="BodyText"/>
        <w:kinsoku w:val="0"/>
        <w:overflowPunct w:val="0"/>
        <w:spacing w:before="11"/>
        <w:ind w:left="0"/>
        <w:rPr>
          <w:b/>
          <w:bCs/>
          <w:i/>
          <w:sz w:val="20"/>
          <w:szCs w:val="20"/>
        </w:rPr>
      </w:pPr>
    </w:p>
    <w:p w:rsidR="00ED74C8" w:rsidRPr="00B3284E" w:rsidRDefault="00ED74C8" w:rsidP="00ED74C8">
      <w:pPr>
        <w:pStyle w:val="BodyText"/>
        <w:kinsoku w:val="0"/>
        <w:overflowPunct w:val="0"/>
        <w:jc w:val="both"/>
        <w:rPr>
          <w:i/>
          <w:sz w:val="20"/>
          <w:szCs w:val="20"/>
        </w:rPr>
      </w:pPr>
      <w:r w:rsidRPr="00B3284E">
        <w:rPr>
          <w:b/>
          <w:bCs/>
          <w:i/>
          <w:sz w:val="20"/>
          <w:szCs w:val="20"/>
        </w:rPr>
        <w:t xml:space="preserve">5.2 Medical staff involved in the care of patients with SCD. </w:t>
      </w:r>
      <w:proofErr w:type="gramStart"/>
      <w:r w:rsidRPr="00B3284E">
        <w:rPr>
          <w:bCs/>
          <w:i/>
          <w:sz w:val="20"/>
          <w:szCs w:val="20"/>
        </w:rPr>
        <w:t xml:space="preserve">Responsible with the oversight of the </w:t>
      </w:r>
      <w:proofErr w:type="spellStart"/>
      <w:r w:rsidRPr="00B3284E">
        <w:rPr>
          <w:bCs/>
          <w:i/>
          <w:sz w:val="20"/>
          <w:szCs w:val="20"/>
        </w:rPr>
        <w:t>haemoglobinopathy</w:t>
      </w:r>
      <w:proofErr w:type="spellEnd"/>
      <w:r w:rsidRPr="00B3284E">
        <w:rPr>
          <w:bCs/>
          <w:i/>
          <w:sz w:val="20"/>
          <w:szCs w:val="20"/>
        </w:rPr>
        <w:t xml:space="preserve"> team to deliver the care </w:t>
      </w:r>
      <w:r w:rsidR="008663ED" w:rsidRPr="00B3284E">
        <w:rPr>
          <w:bCs/>
          <w:i/>
          <w:sz w:val="20"/>
          <w:szCs w:val="20"/>
        </w:rPr>
        <w:t>to</w:t>
      </w:r>
      <w:r w:rsidRPr="00B3284E">
        <w:rPr>
          <w:bCs/>
          <w:i/>
          <w:sz w:val="20"/>
          <w:szCs w:val="20"/>
        </w:rPr>
        <w:t xml:space="preserve"> these patients in line with guidelines where possible.</w:t>
      </w:r>
      <w:proofErr w:type="gramEnd"/>
      <w:r w:rsidRPr="00B3284E">
        <w:rPr>
          <w:bCs/>
          <w:i/>
          <w:sz w:val="20"/>
          <w:szCs w:val="20"/>
        </w:rPr>
        <w:t xml:space="preserve"> </w:t>
      </w:r>
    </w:p>
    <w:p w:rsidR="00ED74C8" w:rsidRPr="00B3284E" w:rsidRDefault="00ED74C8" w:rsidP="00ED74C8">
      <w:pPr>
        <w:pStyle w:val="BodyText"/>
        <w:kinsoku w:val="0"/>
        <w:overflowPunct w:val="0"/>
        <w:ind w:left="0"/>
        <w:rPr>
          <w:b/>
          <w:bCs/>
          <w:i/>
          <w:sz w:val="20"/>
          <w:szCs w:val="20"/>
        </w:rPr>
      </w:pPr>
    </w:p>
    <w:p w:rsidR="00FC5932" w:rsidRPr="00B3284E" w:rsidRDefault="00ED74C8" w:rsidP="007C4CC5">
      <w:pPr>
        <w:pStyle w:val="BodyText"/>
        <w:kinsoku w:val="0"/>
        <w:overflowPunct w:val="0"/>
        <w:spacing w:before="11"/>
        <w:ind w:left="639"/>
        <w:rPr>
          <w:bCs/>
          <w:i/>
          <w:sz w:val="20"/>
          <w:szCs w:val="20"/>
        </w:rPr>
      </w:pPr>
      <w:r w:rsidRPr="00B3284E">
        <w:rPr>
          <w:b/>
          <w:bCs/>
          <w:i/>
          <w:sz w:val="20"/>
          <w:szCs w:val="20"/>
        </w:rPr>
        <w:t xml:space="preserve">5.3 Nursing staff and allied health professionals involved in the care of patients with SCD on wards, day unit and other areas of St George’s  </w:t>
      </w:r>
      <w:r w:rsidR="00AF64D5" w:rsidRPr="00B3284E">
        <w:rPr>
          <w:bCs/>
          <w:i/>
          <w:sz w:val="20"/>
          <w:szCs w:val="20"/>
        </w:rPr>
        <w:t>r</w:t>
      </w:r>
      <w:r w:rsidRPr="00B3284E">
        <w:rPr>
          <w:bCs/>
          <w:i/>
          <w:sz w:val="20"/>
          <w:szCs w:val="20"/>
        </w:rPr>
        <w:t xml:space="preserve">esponsible with the oversight of the </w:t>
      </w:r>
      <w:proofErr w:type="spellStart"/>
      <w:r w:rsidRPr="00B3284E">
        <w:rPr>
          <w:bCs/>
          <w:i/>
          <w:sz w:val="20"/>
          <w:szCs w:val="20"/>
        </w:rPr>
        <w:t>haemoglobinopathy</w:t>
      </w:r>
      <w:proofErr w:type="spellEnd"/>
      <w:r w:rsidRPr="00B3284E">
        <w:rPr>
          <w:bCs/>
          <w:i/>
          <w:sz w:val="20"/>
          <w:szCs w:val="20"/>
        </w:rPr>
        <w:t xml:space="preserve"> team to deliver the care of these patients in line with guidelines</w:t>
      </w:r>
      <w:r w:rsidR="00330144" w:rsidRPr="00B3284E">
        <w:rPr>
          <w:bCs/>
          <w:i/>
          <w:sz w:val="20"/>
          <w:szCs w:val="20"/>
        </w:rPr>
        <w:t xml:space="preserve"> where possible</w:t>
      </w:r>
      <w:r w:rsidR="007C4CC5" w:rsidRPr="00B3284E">
        <w:rPr>
          <w:bCs/>
          <w:i/>
          <w:sz w:val="20"/>
          <w:szCs w:val="20"/>
        </w:rPr>
        <w:t>.</w:t>
      </w:r>
    </w:p>
    <w:p w:rsidR="007C4CC5" w:rsidRPr="00B3284E" w:rsidRDefault="007C4CC5" w:rsidP="007C4CC5">
      <w:pPr>
        <w:pStyle w:val="BodyText"/>
        <w:kinsoku w:val="0"/>
        <w:overflowPunct w:val="0"/>
        <w:spacing w:before="11"/>
        <w:ind w:left="639"/>
        <w:rPr>
          <w:b/>
          <w:bCs/>
          <w:i/>
          <w:sz w:val="20"/>
          <w:szCs w:val="20"/>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5B2407" w:rsidRDefault="005B2407" w:rsidP="007C4CC5">
      <w:pPr>
        <w:pStyle w:val="BodyText"/>
        <w:kinsoku w:val="0"/>
        <w:overflowPunct w:val="0"/>
        <w:spacing w:before="11"/>
        <w:ind w:left="639"/>
        <w:rPr>
          <w:b/>
          <w:bCs/>
        </w:rPr>
      </w:pPr>
    </w:p>
    <w:p w:rsidR="000A505A" w:rsidRDefault="000A505A" w:rsidP="000A505A">
      <w:pPr>
        <w:tabs>
          <w:tab w:val="left" w:pos="640"/>
        </w:tabs>
        <w:kinsoku w:val="0"/>
        <w:overflowPunct w:val="0"/>
        <w:spacing w:line="276" w:lineRule="exact"/>
        <w:ind w:right="1"/>
        <w:rPr>
          <w:rFonts w:ascii="Arial" w:hAnsi="Arial" w:cs="Arial"/>
          <w:b/>
          <w:bCs/>
          <w:sz w:val="22"/>
          <w:szCs w:val="22"/>
        </w:rPr>
      </w:pPr>
    </w:p>
    <w:p w:rsidR="00B3284E" w:rsidRDefault="00B3284E" w:rsidP="000A505A">
      <w:pPr>
        <w:tabs>
          <w:tab w:val="left" w:pos="640"/>
        </w:tabs>
        <w:kinsoku w:val="0"/>
        <w:overflowPunct w:val="0"/>
        <w:spacing w:line="276" w:lineRule="exact"/>
        <w:ind w:right="1"/>
        <w:rPr>
          <w:rFonts w:ascii="Arial" w:hAnsi="Arial" w:cs="Arial"/>
          <w:b/>
          <w:bCs/>
          <w:sz w:val="22"/>
          <w:szCs w:val="22"/>
        </w:rPr>
      </w:pPr>
    </w:p>
    <w:p w:rsidR="00B3284E" w:rsidRDefault="00B3284E">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0F2EF9" w:rsidRPr="00511E77" w:rsidRDefault="000A505A" w:rsidP="000F2EF9">
      <w:pPr>
        <w:pStyle w:val="ListParagraph"/>
        <w:numPr>
          <w:ilvl w:val="0"/>
          <w:numId w:val="18"/>
        </w:numPr>
        <w:tabs>
          <w:tab w:val="left" w:pos="640"/>
        </w:tabs>
        <w:kinsoku w:val="0"/>
        <w:overflowPunct w:val="0"/>
        <w:spacing w:line="276" w:lineRule="exact"/>
        <w:ind w:right="1"/>
        <w:rPr>
          <w:rFonts w:ascii="Arial" w:hAnsi="Arial" w:cs="Arial"/>
          <w:sz w:val="22"/>
          <w:szCs w:val="22"/>
        </w:rPr>
      </w:pPr>
      <w:r>
        <w:rPr>
          <w:rFonts w:ascii="Arial" w:hAnsi="Arial" w:cs="Arial"/>
          <w:b/>
          <w:bCs/>
          <w:sz w:val="22"/>
          <w:szCs w:val="22"/>
        </w:rPr>
        <w:lastRenderedPageBreak/>
        <w:t xml:space="preserve">    </w:t>
      </w:r>
      <w:r w:rsidR="000F2EF9">
        <w:rPr>
          <w:rFonts w:ascii="Arial" w:hAnsi="Arial" w:cs="Arial"/>
          <w:b/>
          <w:bCs/>
          <w:sz w:val="22"/>
          <w:szCs w:val="22"/>
        </w:rPr>
        <w:t xml:space="preserve">Contents </w:t>
      </w:r>
    </w:p>
    <w:p w:rsidR="00511E77" w:rsidRP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sidRPr="00511E77">
        <w:rPr>
          <w:rFonts w:ascii="Arial" w:hAnsi="Arial" w:cs="Arial"/>
          <w:sz w:val="22"/>
          <w:szCs w:val="22"/>
        </w:rPr>
        <w:t>Background</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Patient Groups</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Diagnosis</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Investigations</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Treatment</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Dosage</w:t>
      </w:r>
    </w:p>
    <w:p w:rsid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Monitoring of Treatment</w:t>
      </w:r>
    </w:p>
    <w:p w:rsidR="00511E77" w:rsidRPr="00511E77" w:rsidRDefault="00511E77" w:rsidP="00511E77">
      <w:pPr>
        <w:pStyle w:val="ListParagraph"/>
        <w:numPr>
          <w:ilvl w:val="1"/>
          <w:numId w:val="18"/>
        </w:numPr>
        <w:tabs>
          <w:tab w:val="left" w:pos="640"/>
        </w:tabs>
        <w:kinsoku w:val="0"/>
        <w:overflowPunct w:val="0"/>
        <w:spacing w:line="276" w:lineRule="exact"/>
        <w:ind w:right="1"/>
        <w:rPr>
          <w:rFonts w:ascii="Arial" w:hAnsi="Arial" w:cs="Arial"/>
          <w:sz w:val="22"/>
          <w:szCs w:val="22"/>
        </w:rPr>
      </w:pPr>
      <w:r>
        <w:rPr>
          <w:rFonts w:ascii="Arial" w:hAnsi="Arial" w:cs="Arial"/>
          <w:sz w:val="22"/>
          <w:szCs w:val="22"/>
        </w:rPr>
        <w:t>Monitoring of Guideline</w:t>
      </w:r>
    </w:p>
    <w:p w:rsidR="00511E77" w:rsidRDefault="00511E77" w:rsidP="00511E77">
      <w:pPr>
        <w:tabs>
          <w:tab w:val="left" w:pos="640"/>
        </w:tabs>
        <w:kinsoku w:val="0"/>
        <w:overflowPunct w:val="0"/>
        <w:spacing w:line="276" w:lineRule="exact"/>
        <w:ind w:right="1"/>
        <w:rPr>
          <w:rFonts w:ascii="Arial" w:hAnsi="Arial" w:cs="Arial"/>
          <w:sz w:val="22"/>
          <w:szCs w:val="22"/>
        </w:rPr>
      </w:pPr>
    </w:p>
    <w:p w:rsidR="00511E77" w:rsidRPr="00511E77" w:rsidRDefault="00511E77" w:rsidP="00511E77">
      <w:pPr>
        <w:widowControl/>
        <w:autoSpaceDE/>
        <w:autoSpaceDN/>
        <w:adjustRightInd/>
        <w:rPr>
          <w:rFonts w:ascii="Arial" w:eastAsia="Times New Roman" w:hAnsi="Arial" w:cs="Arial"/>
          <w:b/>
          <w:sz w:val="22"/>
          <w:szCs w:val="22"/>
          <w:u w:val="single"/>
        </w:rPr>
      </w:pPr>
      <w:r w:rsidRPr="00511E77">
        <w:rPr>
          <w:rFonts w:ascii="Arial" w:eastAsia="Times New Roman" w:hAnsi="Arial" w:cs="Arial"/>
          <w:b/>
          <w:sz w:val="22"/>
          <w:szCs w:val="22"/>
          <w:u w:val="single"/>
        </w:rPr>
        <w:t>Background</w:t>
      </w:r>
    </w:p>
    <w:p w:rsidR="00511E77" w:rsidRPr="00511E77" w:rsidRDefault="00511E77" w:rsidP="00511E77">
      <w:pPr>
        <w:widowControl/>
        <w:autoSpaceDE/>
        <w:autoSpaceDN/>
        <w:adjustRightInd/>
        <w:rPr>
          <w:rFonts w:ascii="Arial" w:eastAsia="Times New Roman" w:hAnsi="Arial" w:cs="Arial"/>
          <w:b/>
          <w:sz w:val="22"/>
          <w:szCs w:val="22"/>
        </w:rPr>
      </w:pPr>
    </w:p>
    <w:p w:rsid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Blood transfusion is an important treatment in the management of patients with sickle cell disease (SCD) and other </w:t>
      </w:r>
      <w:proofErr w:type="spellStart"/>
      <w:r w:rsidRPr="00511E77">
        <w:rPr>
          <w:rFonts w:ascii="Arial" w:eastAsia="Times New Roman" w:hAnsi="Arial" w:cs="Arial"/>
          <w:sz w:val="22"/>
          <w:szCs w:val="22"/>
        </w:rPr>
        <w:t>haemoglobinopathies</w:t>
      </w:r>
      <w:proofErr w:type="spellEnd"/>
      <w:r w:rsidRPr="00511E77">
        <w:rPr>
          <w:rFonts w:ascii="Arial" w:eastAsia="Times New Roman" w:hAnsi="Arial" w:cs="Arial"/>
          <w:sz w:val="22"/>
          <w:szCs w:val="22"/>
        </w:rPr>
        <w:t xml:space="preserve">, however, about one third of transfused SCD patients develop antibodies to red antigens, becoming </w:t>
      </w:r>
      <w:proofErr w:type="spellStart"/>
      <w:r w:rsidRPr="00511E77">
        <w:rPr>
          <w:rFonts w:ascii="Arial" w:eastAsia="Times New Roman" w:hAnsi="Arial" w:cs="Arial"/>
          <w:sz w:val="22"/>
          <w:szCs w:val="22"/>
        </w:rPr>
        <w:t>allo</w:t>
      </w:r>
      <w:proofErr w:type="spellEnd"/>
      <w:r w:rsidRPr="00511E77">
        <w:rPr>
          <w:rFonts w:ascii="Arial" w:eastAsia="Times New Roman" w:hAnsi="Arial" w:cs="Arial"/>
          <w:sz w:val="22"/>
          <w:szCs w:val="22"/>
        </w:rPr>
        <w:t xml:space="preserve">-immunised, and around 10% develop the most serious consequence of this </w:t>
      </w:r>
      <w:proofErr w:type="spellStart"/>
      <w:r w:rsidRPr="00511E77">
        <w:rPr>
          <w:rFonts w:ascii="Arial" w:eastAsia="Times New Roman" w:hAnsi="Arial" w:cs="Arial"/>
          <w:sz w:val="22"/>
          <w:szCs w:val="22"/>
        </w:rPr>
        <w:t>allo</w:t>
      </w:r>
      <w:proofErr w:type="spellEnd"/>
      <w:r w:rsidRPr="00511E77">
        <w:rPr>
          <w:rFonts w:ascii="Arial" w:eastAsia="Times New Roman" w:hAnsi="Arial" w:cs="Arial"/>
          <w:sz w:val="22"/>
          <w:szCs w:val="22"/>
        </w:rPr>
        <w:t>-immunisation which is a delayed haemolytic transfusion reaction (DHTR).</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In many </w:t>
      </w:r>
      <w:proofErr w:type="spellStart"/>
      <w:r w:rsidRPr="00511E77">
        <w:rPr>
          <w:rFonts w:ascii="Arial" w:eastAsia="Times New Roman" w:hAnsi="Arial" w:cs="Arial"/>
          <w:sz w:val="22"/>
          <w:szCs w:val="22"/>
        </w:rPr>
        <w:t>Haemoglobinopathy</w:t>
      </w:r>
      <w:proofErr w:type="spellEnd"/>
      <w:r w:rsidRPr="00511E77">
        <w:rPr>
          <w:rFonts w:ascii="Arial" w:eastAsia="Times New Roman" w:hAnsi="Arial" w:cs="Arial"/>
          <w:sz w:val="22"/>
          <w:szCs w:val="22"/>
        </w:rPr>
        <w:t xml:space="preserve"> patients presenting with DHTR, the patient’s </w:t>
      </w:r>
      <w:r w:rsidRPr="00511E77">
        <w:rPr>
          <w:rFonts w:ascii="Arial" w:eastAsia="Times New Roman" w:hAnsi="Arial" w:cs="Arial"/>
          <w:b/>
          <w:i/>
          <w:sz w:val="22"/>
          <w:szCs w:val="22"/>
        </w:rPr>
        <w:t>haemoglobin level falls below</w:t>
      </w:r>
      <w:r w:rsidRPr="00511E77">
        <w:rPr>
          <w:rFonts w:ascii="Arial" w:eastAsia="Times New Roman" w:hAnsi="Arial" w:cs="Arial"/>
          <w:sz w:val="22"/>
          <w:szCs w:val="22"/>
        </w:rPr>
        <w:t xml:space="preserve"> the pre-transfusion level suggesting destruction of transfused RBCs as well as the patient’s own RBCs. This is referred to as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It is characterised by rapid haemolysis and may be associated with fever and with pain typical of sickle cell disease. The direct </w:t>
      </w:r>
      <w:proofErr w:type="spellStart"/>
      <w:r w:rsidRPr="00511E77">
        <w:rPr>
          <w:rFonts w:ascii="Arial" w:eastAsia="Times New Roman" w:hAnsi="Arial" w:cs="Arial"/>
          <w:sz w:val="22"/>
          <w:szCs w:val="22"/>
        </w:rPr>
        <w:t>antiglobulin</w:t>
      </w:r>
      <w:proofErr w:type="spellEnd"/>
      <w:r w:rsidRPr="00511E77">
        <w:rPr>
          <w:rFonts w:ascii="Arial" w:eastAsia="Times New Roman" w:hAnsi="Arial" w:cs="Arial"/>
          <w:sz w:val="22"/>
          <w:szCs w:val="22"/>
        </w:rPr>
        <w:t xml:space="preserve"> test (DAT) may be either negative or positive and new red cell </w:t>
      </w:r>
      <w:proofErr w:type="spellStart"/>
      <w:r w:rsidRPr="00511E77">
        <w:rPr>
          <w:rFonts w:ascii="Arial" w:eastAsia="Times New Roman" w:hAnsi="Arial" w:cs="Arial"/>
          <w:sz w:val="22"/>
          <w:szCs w:val="22"/>
        </w:rPr>
        <w:t>allo</w:t>
      </w:r>
      <w:proofErr w:type="spellEnd"/>
      <w:r w:rsidRPr="00511E77">
        <w:rPr>
          <w:rFonts w:ascii="Arial" w:eastAsia="Times New Roman" w:hAnsi="Arial" w:cs="Arial"/>
          <w:sz w:val="22"/>
          <w:szCs w:val="22"/>
        </w:rPr>
        <w:t xml:space="preserve">-antibodies are not usually identified but may be present. There may be a </w:t>
      </w:r>
      <w:proofErr w:type="spellStart"/>
      <w:r w:rsidRPr="00511E77">
        <w:rPr>
          <w:rFonts w:ascii="Arial" w:eastAsia="Times New Roman" w:hAnsi="Arial" w:cs="Arial"/>
          <w:sz w:val="22"/>
          <w:szCs w:val="22"/>
        </w:rPr>
        <w:t>reticulocytopenia</w:t>
      </w:r>
      <w:proofErr w:type="spellEnd"/>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can recur in such patients following blood transfusions several months or years after the initial episode.</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Patients with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should be treated with intravenous immunoglobulin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 xml:space="preserve">) and IV Methylprednisolone. Additional transfusion has been associated with increasing haemolysis and worsening anaemia, and should be avoided if possible. However, in cases where there is very rapid haemolysis and critical anaemia, transfusion is required and should be preceded with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Erythropoietin, iron replacement, B12 and </w:t>
      </w:r>
      <w:proofErr w:type="spellStart"/>
      <w:r w:rsidRPr="00511E77">
        <w:rPr>
          <w:rFonts w:ascii="Arial" w:eastAsia="Times New Roman" w:hAnsi="Arial" w:cs="Arial"/>
          <w:sz w:val="22"/>
          <w:szCs w:val="22"/>
        </w:rPr>
        <w:t>folate</w:t>
      </w:r>
      <w:proofErr w:type="spellEnd"/>
      <w:r w:rsidRPr="00511E77">
        <w:rPr>
          <w:rFonts w:ascii="Arial" w:eastAsia="Times New Roman" w:hAnsi="Arial" w:cs="Arial"/>
          <w:sz w:val="22"/>
          <w:szCs w:val="22"/>
        </w:rPr>
        <w:t xml:space="preserve"> replacement is usually required and should be considered.</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can recur many years after the first episode and transfusion is generally avoided if possible in all patients who have had an episode. However, should a blood transfusion be clinically indicated in such a patient, this must be discussed and agreed with a haematology consultant, and the patients should be retreated with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 xml:space="preserve"> prior to </w:t>
      </w:r>
      <w:proofErr w:type="gramStart"/>
      <w:r w:rsidRPr="00511E77">
        <w:rPr>
          <w:rFonts w:ascii="Arial" w:eastAsia="Times New Roman" w:hAnsi="Arial" w:cs="Arial"/>
          <w:sz w:val="22"/>
          <w:szCs w:val="22"/>
        </w:rPr>
        <w:t>transfusion.</w:t>
      </w:r>
      <w:proofErr w:type="gramEnd"/>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sz w:val="22"/>
          <w:szCs w:val="22"/>
          <w:u w:val="single"/>
        </w:rPr>
      </w:pPr>
      <w:r w:rsidRPr="00511E77">
        <w:rPr>
          <w:rFonts w:ascii="Arial" w:eastAsia="Times New Roman" w:hAnsi="Arial" w:cs="Arial"/>
          <w:b/>
          <w:sz w:val="22"/>
          <w:szCs w:val="22"/>
          <w:u w:val="single"/>
        </w:rPr>
        <w:t>Patient Groups</w:t>
      </w:r>
    </w:p>
    <w:p w:rsidR="00511E77" w:rsidRPr="00511E77" w:rsidRDefault="00511E77" w:rsidP="00511E77">
      <w:pPr>
        <w:widowControl/>
        <w:autoSpaceDE/>
        <w:autoSpaceDN/>
        <w:adjustRightInd/>
        <w:rPr>
          <w:rFonts w:ascii="Arial" w:eastAsia="Times New Roman" w:hAnsi="Arial" w:cs="Arial"/>
          <w:sz w:val="22"/>
          <w:szCs w:val="22"/>
        </w:rPr>
      </w:pPr>
      <w:r w:rsidRPr="00511E77">
        <w:rPr>
          <w:rFonts w:ascii="Arial" w:eastAsia="Times New Roman" w:hAnsi="Arial" w:cs="Arial"/>
          <w:sz w:val="22"/>
          <w:szCs w:val="22"/>
        </w:rPr>
        <w:t xml:space="preserve">1)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 xml:space="preserve"> and IV Methylprednisolone should be considered in patients with SCD who present with evidence of severe haemolysis following a blood transfusion.</w:t>
      </w:r>
    </w:p>
    <w:p w:rsidR="00511E77" w:rsidRPr="00511E77" w:rsidRDefault="00511E77" w:rsidP="00511E77">
      <w:pPr>
        <w:widowControl/>
        <w:autoSpaceDE/>
        <w:autoSpaceDN/>
        <w:adjustRightInd/>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sz w:val="22"/>
          <w:szCs w:val="22"/>
        </w:rPr>
      </w:pPr>
      <w:r w:rsidRPr="00511E77">
        <w:rPr>
          <w:rFonts w:ascii="Arial" w:eastAsia="Times New Roman" w:hAnsi="Arial" w:cs="Arial"/>
          <w:sz w:val="22"/>
          <w:szCs w:val="22"/>
        </w:rPr>
        <w:t xml:space="preserve">2) Patients with SCD and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who continue to haemolyse despite initial treatment and have worsening anaemia may need a further transfusion. </w:t>
      </w:r>
      <w:r w:rsidRPr="008A37DD">
        <w:rPr>
          <w:rFonts w:ascii="Arial" w:eastAsia="Times New Roman" w:hAnsi="Arial" w:cs="Arial"/>
          <w:sz w:val="22"/>
          <w:szCs w:val="22"/>
          <w:highlight w:val="yellow"/>
        </w:rPr>
        <w:t xml:space="preserve">This should be preceded by </w:t>
      </w:r>
      <w:proofErr w:type="spellStart"/>
      <w:r w:rsidRPr="008A37DD">
        <w:rPr>
          <w:rFonts w:ascii="Arial" w:eastAsia="Times New Roman" w:hAnsi="Arial" w:cs="Arial"/>
          <w:sz w:val="22"/>
          <w:szCs w:val="22"/>
          <w:highlight w:val="yellow"/>
        </w:rPr>
        <w:t>IVIg</w:t>
      </w:r>
      <w:proofErr w:type="spellEnd"/>
      <w:r w:rsidR="008A37DD" w:rsidRPr="008A37DD">
        <w:rPr>
          <w:rFonts w:ascii="Arial" w:eastAsia="Times New Roman" w:hAnsi="Arial" w:cs="Arial"/>
          <w:sz w:val="22"/>
          <w:szCs w:val="22"/>
          <w:highlight w:val="yellow"/>
        </w:rPr>
        <w:t xml:space="preserve"> and discussion with the haematology consultant covering SCD</w:t>
      </w:r>
      <w:r w:rsidRPr="00511E77">
        <w:rPr>
          <w:rFonts w:ascii="Arial" w:eastAsia="Times New Roman" w:hAnsi="Arial" w:cs="Arial"/>
          <w:sz w:val="22"/>
          <w:szCs w:val="22"/>
        </w:rPr>
        <w:t>.</w:t>
      </w:r>
    </w:p>
    <w:p w:rsidR="00511E77" w:rsidRPr="00511E77" w:rsidRDefault="00511E77" w:rsidP="00511E77">
      <w:pPr>
        <w:widowControl/>
        <w:autoSpaceDE/>
        <w:autoSpaceDN/>
        <w:adjustRightInd/>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sz w:val="22"/>
          <w:szCs w:val="22"/>
        </w:rPr>
      </w:pPr>
      <w:r w:rsidRPr="00511E77">
        <w:rPr>
          <w:rFonts w:ascii="Arial" w:eastAsia="Times New Roman" w:hAnsi="Arial" w:cs="Arial"/>
          <w:sz w:val="22"/>
          <w:szCs w:val="22"/>
        </w:rPr>
        <w:t xml:space="preserve">3) Patients with SCD and a history of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are at risk of recurrence. If transfusion is necessary it should be preceded by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w:t>
      </w:r>
    </w:p>
    <w:p w:rsidR="00511E77" w:rsidRPr="00511E77" w:rsidRDefault="00511E77" w:rsidP="00511E77">
      <w:pPr>
        <w:widowControl/>
        <w:autoSpaceDE/>
        <w:autoSpaceDN/>
        <w:adjustRightInd/>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sz w:val="22"/>
          <w:szCs w:val="22"/>
        </w:rPr>
      </w:pPr>
    </w:p>
    <w:p w:rsidR="00511E77" w:rsidRDefault="00511E77">
      <w:pPr>
        <w:widowControl/>
        <w:autoSpaceDE/>
        <w:autoSpaceDN/>
        <w:adjustRightInd/>
        <w:spacing w:after="200" w:line="276" w:lineRule="auto"/>
        <w:rPr>
          <w:rFonts w:ascii="Arial" w:eastAsia="Times New Roman" w:hAnsi="Arial" w:cs="Arial"/>
          <w:b/>
          <w:sz w:val="22"/>
          <w:szCs w:val="22"/>
          <w:u w:val="single"/>
        </w:rPr>
      </w:pPr>
      <w:r>
        <w:rPr>
          <w:rFonts w:ascii="Arial" w:eastAsia="Times New Roman" w:hAnsi="Arial" w:cs="Arial"/>
          <w:b/>
          <w:sz w:val="22"/>
          <w:szCs w:val="22"/>
          <w:u w:val="single"/>
        </w:rPr>
        <w:br w:type="page"/>
      </w:r>
    </w:p>
    <w:p w:rsidR="00511E77" w:rsidRPr="00511E77" w:rsidRDefault="00511E77" w:rsidP="00511E77">
      <w:pPr>
        <w:widowControl/>
        <w:autoSpaceDE/>
        <w:autoSpaceDN/>
        <w:adjustRightInd/>
        <w:rPr>
          <w:rFonts w:ascii="Arial" w:eastAsia="Times New Roman" w:hAnsi="Arial" w:cs="Arial"/>
          <w:b/>
          <w:sz w:val="22"/>
          <w:szCs w:val="22"/>
          <w:u w:val="single"/>
        </w:rPr>
      </w:pPr>
      <w:r w:rsidRPr="00511E77">
        <w:rPr>
          <w:rFonts w:ascii="Arial" w:eastAsia="Times New Roman" w:hAnsi="Arial" w:cs="Arial"/>
          <w:b/>
          <w:sz w:val="22"/>
          <w:szCs w:val="22"/>
          <w:u w:val="single"/>
        </w:rPr>
        <w:lastRenderedPageBreak/>
        <w:t>Diagnosis</w:t>
      </w: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should be considered in any patient with </w:t>
      </w:r>
      <w:proofErr w:type="spellStart"/>
      <w:r w:rsidRPr="00511E77">
        <w:rPr>
          <w:rFonts w:ascii="Arial" w:eastAsia="Times New Roman" w:hAnsi="Arial" w:cs="Arial"/>
          <w:sz w:val="22"/>
          <w:szCs w:val="22"/>
        </w:rPr>
        <w:t>haemoglobinopathy</w:t>
      </w:r>
      <w:proofErr w:type="spellEnd"/>
      <w:r w:rsidRPr="00511E77">
        <w:rPr>
          <w:rFonts w:ascii="Arial" w:eastAsia="Times New Roman" w:hAnsi="Arial" w:cs="Arial"/>
          <w:sz w:val="22"/>
          <w:szCs w:val="22"/>
        </w:rPr>
        <w:t xml:space="preserve"> who presents with increasing haemolysis after a blood transfusion, typically, 1 week post transfusion, but may occur sooner than this if the patient is re-challenged with transfusion.</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Clinical features: Increasing jaundice, dark urine (‘</w:t>
      </w:r>
      <w:proofErr w:type="spellStart"/>
      <w:r w:rsidRPr="00511E77">
        <w:rPr>
          <w:rFonts w:ascii="Arial" w:eastAsia="Times New Roman" w:hAnsi="Arial" w:cs="Arial"/>
          <w:sz w:val="22"/>
          <w:szCs w:val="22"/>
        </w:rPr>
        <w:t>coca-cola</w:t>
      </w:r>
      <w:proofErr w:type="spellEnd"/>
      <w:r w:rsidRPr="00511E77">
        <w:rPr>
          <w:rFonts w:ascii="Arial" w:eastAsia="Times New Roman" w:hAnsi="Arial" w:cs="Arial"/>
          <w:sz w:val="22"/>
          <w:szCs w:val="22"/>
        </w:rPr>
        <w:t xml:space="preserve">’ coloured), </w:t>
      </w:r>
      <w:proofErr w:type="gramStart"/>
      <w:r w:rsidRPr="00511E77">
        <w:rPr>
          <w:rFonts w:ascii="Arial" w:eastAsia="Times New Roman" w:hAnsi="Arial" w:cs="Arial"/>
          <w:sz w:val="22"/>
          <w:szCs w:val="22"/>
        </w:rPr>
        <w:t>anaemia</w:t>
      </w:r>
      <w:proofErr w:type="gramEnd"/>
      <w:r w:rsidRPr="00511E77">
        <w:rPr>
          <w:rFonts w:ascii="Arial" w:eastAsia="Times New Roman" w:hAnsi="Arial" w:cs="Arial"/>
          <w:sz w:val="22"/>
          <w:szCs w:val="22"/>
        </w:rPr>
        <w:t xml:space="preserve">. They may also have a fever, back, leg or abdominal pain, hepatomegaly or hepatic discomfort. </w:t>
      </w:r>
    </w:p>
    <w:p w:rsidR="00511E77" w:rsidRPr="00511E77" w:rsidRDefault="00511E77" w:rsidP="00511E77">
      <w:pPr>
        <w:widowControl/>
        <w:autoSpaceDE/>
        <w:autoSpaceDN/>
        <w:adjustRightInd/>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sz w:val="22"/>
          <w:szCs w:val="22"/>
          <w:u w:val="single"/>
        </w:rPr>
      </w:pPr>
    </w:p>
    <w:p w:rsidR="00511E77" w:rsidRPr="00511E77" w:rsidRDefault="00511E77" w:rsidP="00511E77">
      <w:pPr>
        <w:widowControl/>
        <w:autoSpaceDE/>
        <w:autoSpaceDN/>
        <w:adjustRightInd/>
        <w:rPr>
          <w:rFonts w:ascii="Arial" w:eastAsia="Times New Roman" w:hAnsi="Arial" w:cs="Arial"/>
          <w:b/>
          <w:sz w:val="22"/>
          <w:szCs w:val="22"/>
          <w:u w:val="single"/>
        </w:rPr>
      </w:pPr>
      <w:r w:rsidRPr="00511E77">
        <w:rPr>
          <w:rFonts w:ascii="Arial" w:eastAsia="Times New Roman" w:hAnsi="Arial" w:cs="Arial"/>
          <w:b/>
          <w:sz w:val="22"/>
          <w:szCs w:val="22"/>
          <w:u w:val="single"/>
        </w:rPr>
        <w:t xml:space="preserve">Investigations: </w:t>
      </w:r>
    </w:p>
    <w:p w:rsidR="00511E77" w:rsidRP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i/>
          <w:sz w:val="22"/>
          <w:szCs w:val="22"/>
        </w:rPr>
        <w:t>FBC</w:t>
      </w:r>
      <w:r w:rsidRPr="00511E77">
        <w:rPr>
          <w:rFonts w:ascii="Arial" w:eastAsia="Times New Roman" w:hAnsi="Arial" w:cs="Arial"/>
          <w:sz w:val="22"/>
          <w:szCs w:val="22"/>
        </w:rPr>
        <w:t xml:space="preserve">: Worsening anaemia – </w:t>
      </w:r>
      <w:proofErr w:type="spellStart"/>
      <w:r w:rsidRPr="00511E77">
        <w:rPr>
          <w:rFonts w:ascii="Arial" w:eastAsia="Times New Roman" w:hAnsi="Arial" w:cs="Arial"/>
          <w:sz w:val="22"/>
          <w:szCs w:val="22"/>
        </w:rPr>
        <w:t>Hb</w:t>
      </w:r>
      <w:proofErr w:type="spellEnd"/>
      <w:r w:rsidRPr="00511E77">
        <w:rPr>
          <w:rFonts w:ascii="Arial" w:eastAsia="Times New Roman" w:hAnsi="Arial" w:cs="Arial"/>
          <w:sz w:val="22"/>
          <w:szCs w:val="22"/>
        </w:rPr>
        <w:t xml:space="preserve"> may fall to below the pre-transfusion level.</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i/>
          <w:sz w:val="22"/>
          <w:szCs w:val="22"/>
        </w:rPr>
        <w:t>Reticulocytes:</w:t>
      </w:r>
      <w:r w:rsidRPr="00511E77">
        <w:rPr>
          <w:rFonts w:ascii="Arial" w:eastAsia="Times New Roman" w:hAnsi="Arial" w:cs="Arial"/>
          <w:sz w:val="22"/>
          <w:szCs w:val="22"/>
        </w:rPr>
        <w:t xml:space="preserve"> May be raised (in keeping with haemolysis) or decreased, due to suppression of red cell production.</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i/>
          <w:sz w:val="22"/>
          <w:szCs w:val="22"/>
        </w:rPr>
        <w:t xml:space="preserve">Direct </w:t>
      </w:r>
      <w:proofErr w:type="spellStart"/>
      <w:r w:rsidRPr="00511E77">
        <w:rPr>
          <w:rFonts w:ascii="Arial" w:eastAsia="Times New Roman" w:hAnsi="Arial" w:cs="Arial"/>
          <w:b/>
          <w:i/>
          <w:sz w:val="22"/>
          <w:szCs w:val="22"/>
        </w:rPr>
        <w:t>Antiglobulin</w:t>
      </w:r>
      <w:proofErr w:type="spellEnd"/>
      <w:r w:rsidRPr="00511E77">
        <w:rPr>
          <w:rFonts w:ascii="Arial" w:eastAsia="Times New Roman" w:hAnsi="Arial" w:cs="Arial"/>
          <w:b/>
          <w:i/>
          <w:sz w:val="22"/>
          <w:szCs w:val="22"/>
        </w:rPr>
        <w:t xml:space="preserve"> Test (DAT):</w:t>
      </w:r>
      <w:r w:rsidRPr="00511E77">
        <w:rPr>
          <w:rFonts w:ascii="Arial" w:eastAsia="Times New Roman" w:hAnsi="Arial" w:cs="Arial"/>
          <w:sz w:val="22"/>
          <w:szCs w:val="22"/>
        </w:rPr>
        <w:t xml:space="preserve">  Usually negative but can be positive, transfusion laboratory should send for an </w:t>
      </w:r>
      <w:proofErr w:type="spellStart"/>
      <w:r w:rsidRPr="00511E77">
        <w:rPr>
          <w:rFonts w:ascii="Arial" w:eastAsia="Times New Roman" w:hAnsi="Arial" w:cs="Arial"/>
          <w:sz w:val="22"/>
          <w:szCs w:val="22"/>
        </w:rPr>
        <w:t>eluate</w:t>
      </w:r>
      <w:proofErr w:type="spellEnd"/>
      <w:r w:rsidRPr="00511E77">
        <w:rPr>
          <w:rFonts w:ascii="Arial" w:eastAsia="Times New Roman" w:hAnsi="Arial" w:cs="Arial"/>
          <w:sz w:val="22"/>
          <w:szCs w:val="22"/>
        </w:rPr>
        <w:t xml:space="preserve"> if DAT is positive.</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i/>
          <w:sz w:val="22"/>
          <w:szCs w:val="22"/>
        </w:rPr>
        <w:t>Group and screen:</w:t>
      </w:r>
      <w:r w:rsidRPr="00511E77">
        <w:rPr>
          <w:rFonts w:ascii="Arial" w:eastAsia="Times New Roman" w:hAnsi="Arial" w:cs="Arial"/>
          <w:sz w:val="22"/>
          <w:szCs w:val="22"/>
        </w:rPr>
        <w:t xml:space="preserve"> New </w:t>
      </w:r>
      <w:proofErr w:type="spellStart"/>
      <w:r w:rsidRPr="00511E77">
        <w:rPr>
          <w:rFonts w:ascii="Arial" w:eastAsia="Times New Roman" w:hAnsi="Arial" w:cs="Arial"/>
          <w:sz w:val="22"/>
          <w:szCs w:val="22"/>
        </w:rPr>
        <w:t>allo</w:t>
      </w:r>
      <w:proofErr w:type="spellEnd"/>
      <w:r w:rsidRPr="00511E77">
        <w:rPr>
          <w:rFonts w:ascii="Arial" w:eastAsia="Times New Roman" w:hAnsi="Arial" w:cs="Arial"/>
          <w:sz w:val="22"/>
          <w:szCs w:val="22"/>
        </w:rPr>
        <w:t xml:space="preserve">-antibodies may be found but are usually absent.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sz w:val="22"/>
          <w:szCs w:val="22"/>
        </w:rPr>
        <w:t xml:space="preserve">Haemoglobin electrophoresis to measure </w:t>
      </w:r>
      <w:proofErr w:type="spellStart"/>
      <w:r w:rsidRPr="00511E77">
        <w:rPr>
          <w:rFonts w:ascii="Arial" w:eastAsia="Times New Roman" w:hAnsi="Arial" w:cs="Arial"/>
          <w:b/>
          <w:sz w:val="22"/>
          <w:szCs w:val="22"/>
        </w:rPr>
        <w:t>HbS</w:t>
      </w:r>
      <w:proofErr w:type="spellEnd"/>
      <w:r w:rsidRPr="00511E77">
        <w:rPr>
          <w:rFonts w:ascii="Arial" w:eastAsia="Times New Roman" w:hAnsi="Arial" w:cs="Arial"/>
          <w:b/>
          <w:sz w:val="22"/>
          <w:szCs w:val="22"/>
        </w:rPr>
        <w:t xml:space="preserve">% and </w:t>
      </w:r>
      <w:proofErr w:type="spellStart"/>
      <w:r w:rsidRPr="00511E77">
        <w:rPr>
          <w:rFonts w:ascii="Arial" w:eastAsia="Times New Roman" w:hAnsi="Arial" w:cs="Arial"/>
          <w:b/>
          <w:sz w:val="22"/>
          <w:szCs w:val="22"/>
        </w:rPr>
        <w:t>HbA</w:t>
      </w:r>
      <w:proofErr w:type="spellEnd"/>
      <w:r w:rsidRPr="00511E77">
        <w:rPr>
          <w:rFonts w:ascii="Arial" w:eastAsia="Times New Roman" w:hAnsi="Arial" w:cs="Arial"/>
          <w:b/>
          <w:sz w:val="22"/>
          <w:szCs w:val="22"/>
        </w:rPr>
        <w:t>%:</w:t>
      </w:r>
      <w:r w:rsidRPr="00511E77">
        <w:rPr>
          <w:rFonts w:ascii="Arial" w:eastAsia="Times New Roman" w:hAnsi="Arial" w:cs="Arial"/>
          <w:sz w:val="22"/>
          <w:szCs w:val="22"/>
        </w:rPr>
        <w:t xml:space="preserve"> this is useful to quantify how much, if any, </w:t>
      </w:r>
      <w:proofErr w:type="spellStart"/>
      <w:r w:rsidRPr="00511E77">
        <w:rPr>
          <w:rFonts w:ascii="Arial" w:eastAsia="Times New Roman" w:hAnsi="Arial" w:cs="Arial"/>
          <w:sz w:val="22"/>
          <w:szCs w:val="22"/>
        </w:rPr>
        <w:t>HbA</w:t>
      </w:r>
      <w:proofErr w:type="spellEnd"/>
      <w:r w:rsidRPr="00511E77">
        <w:rPr>
          <w:rFonts w:ascii="Arial" w:eastAsia="Times New Roman" w:hAnsi="Arial" w:cs="Arial"/>
          <w:sz w:val="22"/>
          <w:szCs w:val="22"/>
        </w:rPr>
        <w:t xml:space="preserve"> (transfused blood) remains.</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511E77" w:rsidP="00511E77">
      <w:pPr>
        <w:pStyle w:val="ListParagraph"/>
        <w:widowControl/>
        <w:numPr>
          <w:ilvl w:val="0"/>
          <w:numId w:val="36"/>
        </w:numPr>
        <w:autoSpaceDE/>
        <w:autoSpaceDN/>
        <w:adjustRightInd/>
        <w:jc w:val="both"/>
        <w:rPr>
          <w:rFonts w:ascii="Arial" w:eastAsia="Times New Roman" w:hAnsi="Arial" w:cs="Arial"/>
          <w:sz w:val="22"/>
          <w:szCs w:val="22"/>
        </w:rPr>
      </w:pPr>
      <w:r w:rsidRPr="00511E77">
        <w:rPr>
          <w:rFonts w:ascii="Arial" w:eastAsia="Times New Roman" w:hAnsi="Arial" w:cs="Arial"/>
          <w:b/>
          <w:i/>
          <w:sz w:val="22"/>
          <w:szCs w:val="22"/>
        </w:rPr>
        <w:t>Other markers of haemolysis</w:t>
      </w:r>
      <w:r w:rsidRPr="00511E77">
        <w:rPr>
          <w:rFonts w:ascii="Arial" w:eastAsia="Times New Roman" w:hAnsi="Arial" w:cs="Arial"/>
          <w:sz w:val="22"/>
          <w:szCs w:val="22"/>
        </w:rPr>
        <w:t>:</w:t>
      </w:r>
      <w:r w:rsidRPr="00511E77">
        <w:rPr>
          <w:rFonts w:ascii="Arial" w:eastAsia="Times New Roman" w:hAnsi="Arial" w:cs="Arial"/>
          <w:sz w:val="22"/>
          <w:szCs w:val="22"/>
        </w:rPr>
        <w:tab/>
      </w:r>
    </w:p>
    <w:p w:rsidR="00511E77" w:rsidRPr="00511E77" w:rsidRDefault="00511E77" w:rsidP="00511E77">
      <w:pPr>
        <w:pStyle w:val="ListParagraph"/>
        <w:rPr>
          <w:rFonts w:ascii="Arial" w:eastAsia="Times New Roman" w:hAnsi="Arial" w:cs="Arial"/>
          <w:sz w:val="22"/>
          <w:szCs w:val="22"/>
        </w:rPr>
      </w:pPr>
    </w:p>
    <w:p w:rsidR="00511E77" w:rsidRDefault="00511E77" w:rsidP="00511E77">
      <w:pPr>
        <w:pStyle w:val="ListParagraph"/>
        <w:widowControl/>
        <w:numPr>
          <w:ilvl w:val="1"/>
          <w:numId w:val="36"/>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Raised Bilirubin</w:t>
      </w:r>
    </w:p>
    <w:p w:rsidR="00511E77" w:rsidRDefault="00511E77" w:rsidP="00511E77">
      <w:pPr>
        <w:pStyle w:val="ListParagraph"/>
        <w:widowControl/>
        <w:numPr>
          <w:ilvl w:val="1"/>
          <w:numId w:val="36"/>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Raised LDH</w:t>
      </w:r>
    </w:p>
    <w:p w:rsidR="00511E77" w:rsidRPr="00511E77" w:rsidRDefault="00511E77" w:rsidP="00511E77">
      <w:pPr>
        <w:pStyle w:val="ListParagraph"/>
        <w:widowControl/>
        <w:numPr>
          <w:ilvl w:val="1"/>
          <w:numId w:val="36"/>
        </w:numPr>
        <w:autoSpaceDE/>
        <w:autoSpaceDN/>
        <w:adjustRightInd/>
        <w:jc w:val="both"/>
        <w:rPr>
          <w:rFonts w:ascii="Arial" w:eastAsia="Times New Roman" w:hAnsi="Arial" w:cs="Arial"/>
          <w:sz w:val="22"/>
          <w:szCs w:val="22"/>
        </w:rPr>
      </w:pPr>
      <w:proofErr w:type="spellStart"/>
      <w:r>
        <w:rPr>
          <w:rFonts w:ascii="Arial" w:eastAsia="Times New Roman" w:hAnsi="Arial" w:cs="Arial"/>
          <w:sz w:val="22"/>
          <w:szCs w:val="22"/>
        </w:rPr>
        <w:t>Hyperferritinaemia</w:t>
      </w:r>
      <w:proofErr w:type="spellEnd"/>
      <w:r>
        <w:rPr>
          <w:rFonts w:ascii="Arial" w:eastAsia="Times New Roman" w:hAnsi="Arial" w:cs="Arial"/>
          <w:sz w:val="22"/>
          <w:szCs w:val="22"/>
        </w:rPr>
        <w:t xml:space="preserve"> may also be seen as a marker of macrophage activation</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rPr>
          <w:rFonts w:ascii="Arial" w:eastAsia="Times New Roman" w:hAnsi="Arial" w:cs="Arial"/>
          <w:b/>
          <w:sz w:val="22"/>
          <w:szCs w:val="22"/>
          <w:u w:val="single"/>
        </w:rPr>
      </w:pPr>
      <w:r w:rsidRPr="00511E77">
        <w:rPr>
          <w:rFonts w:ascii="Arial" w:eastAsia="Times New Roman" w:hAnsi="Arial" w:cs="Arial"/>
          <w:b/>
          <w:sz w:val="22"/>
          <w:szCs w:val="22"/>
          <w:u w:val="single"/>
        </w:rPr>
        <w:t>Treatment</w:t>
      </w:r>
    </w:p>
    <w:p w:rsidR="00511E77" w:rsidRDefault="00511E77" w:rsidP="00511E77">
      <w:pPr>
        <w:widowControl/>
        <w:autoSpaceDE/>
        <w:autoSpaceDN/>
        <w:adjustRightInd/>
        <w:jc w:val="both"/>
        <w:rPr>
          <w:rFonts w:ascii="Arial" w:eastAsia="Times New Roman" w:hAnsi="Arial" w:cs="Arial"/>
          <w:sz w:val="22"/>
          <w:szCs w:val="22"/>
        </w:rPr>
      </w:pPr>
    </w:p>
    <w:p w:rsid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All </w:t>
      </w:r>
      <w:proofErr w:type="spellStart"/>
      <w:r w:rsidRPr="00511E77">
        <w:rPr>
          <w:rFonts w:ascii="Arial" w:eastAsia="Times New Roman" w:hAnsi="Arial" w:cs="Arial"/>
          <w:sz w:val="22"/>
          <w:szCs w:val="22"/>
        </w:rPr>
        <w:t>haemoglobinopathy</w:t>
      </w:r>
      <w:proofErr w:type="spellEnd"/>
      <w:r w:rsidRPr="00511E77">
        <w:rPr>
          <w:rFonts w:ascii="Arial" w:eastAsia="Times New Roman" w:hAnsi="Arial" w:cs="Arial"/>
          <w:sz w:val="22"/>
          <w:szCs w:val="22"/>
        </w:rPr>
        <w:t xml:space="preserve"> patients with suspected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must be discussed with a Sickle (red cell) Consultant during normal working hours or the on-call Haematology Consultant</w:t>
      </w:r>
      <w:r>
        <w:rPr>
          <w:rFonts w:ascii="Arial" w:eastAsia="Times New Roman" w:hAnsi="Arial" w:cs="Arial"/>
          <w:sz w:val="22"/>
          <w:szCs w:val="22"/>
        </w:rPr>
        <w:t xml:space="preserve"> </w:t>
      </w:r>
      <w:r w:rsidRPr="008A37DD">
        <w:rPr>
          <w:rFonts w:ascii="Arial" w:eastAsia="Times New Roman" w:hAnsi="Arial" w:cs="Arial"/>
          <w:sz w:val="22"/>
          <w:szCs w:val="22"/>
          <w:highlight w:val="yellow"/>
        </w:rPr>
        <w:t>covering non-malignant haematology</w:t>
      </w:r>
      <w:r w:rsidRPr="00511E77">
        <w:rPr>
          <w:rFonts w:ascii="Arial" w:eastAsia="Times New Roman" w:hAnsi="Arial" w:cs="Arial"/>
          <w:sz w:val="22"/>
          <w:szCs w:val="22"/>
        </w:rPr>
        <w:t xml:space="preserve"> if out-of-hours.</w:t>
      </w:r>
    </w:p>
    <w:p w:rsidR="00511E77" w:rsidRDefault="00511E77" w:rsidP="00511E77">
      <w:pPr>
        <w:pStyle w:val="ListParagraph"/>
        <w:widowControl/>
        <w:autoSpaceDE/>
        <w:autoSpaceDN/>
        <w:adjustRightInd/>
        <w:ind w:left="720"/>
        <w:jc w:val="both"/>
        <w:rPr>
          <w:rFonts w:ascii="Arial" w:eastAsia="Times New Roman" w:hAnsi="Arial" w:cs="Arial"/>
          <w:sz w:val="22"/>
          <w:szCs w:val="22"/>
        </w:rPr>
      </w:pPr>
    </w:p>
    <w:p w:rsid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Supportive management should continue with analgesia, hydration and oxygen therapy as required. </w:t>
      </w:r>
    </w:p>
    <w:p w:rsidR="00511E77" w:rsidRPr="00511E77" w:rsidRDefault="00511E77" w:rsidP="00511E77">
      <w:pPr>
        <w:pStyle w:val="ListParagraph"/>
        <w:rPr>
          <w:rFonts w:ascii="Arial" w:eastAsia="Times New Roman" w:hAnsi="Arial" w:cs="Arial"/>
          <w:sz w:val="22"/>
          <w:szCs w:val="22"/>
        </w:rPr>
      </w:pPr>
    </w:p>
    <w:p w:rsidR="00511E77" w:rsidRDefault="00511E77" w:rsidP="00511E77">
      <w:pPr>
        <w:pStyle w:val="ListParagraph"/>
        <w:widowControl/>
        <w:numPr>
          <w:ilvl w:val="1"/>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Prescribe folic acid 5mg.</w:t>
      </w:r>
    </w:p>
    <w:p w:rsidR="00511E77" w:rsidRPr="00511E77" w:rsidRDefault="00511E77" w:rsidP="00511E77">
      <w:pPr>
        <w:pStyle w:val="ListParagraph"/>
        <w:rPr>
          <w:rFonts w:ascii="Arial" w:eastAsia="Times New Roman" w:hAnsi="Arial" w:cs="Arial"/>
          <w:sz w:val="22"/>
          <w:szCs w:val="22"/>
        </w:rPr>
      </w:pPr>
    </w:p>
    <w:p w:rsidR="00511E77" w:rsidRDefault="00511E77" w:rsidP="00511E77">
      <w:pPr>
        <w:pStyle w:val="ListParagraph"/>
        <w:widowControl/>
        <w:numPr>
          <w:ilvl w:val="1"/>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Consider treatment with erythropoietin and providing IV iron replacement if not iron replete (i.e. if ferritin &lt;100ng/ml).</w:t>
      </w:r>
    </w:p>
    <w:p w:rsidR="00511E77" w:rsidRPr="00511E77" w:rsidRDefault="00511E77" w:rsidP="00511E77">
      <w:pPr>
        <w:pStyle w:val="ListParagraph"/>
        <w:rPr>
          <w:rFonts w:ascii="Arial" w:eastAsia="Times New Roman" w:hAnsi="Arial" w:cs="Arial"/>
          <w:sz w:val="22"/>
          <w:szCs w:val="22"/>
        </w:rPr>
      </w:pPr>
    </w:p>
    <w:p w:rsidR="00511E77" w:rsidRDefault="00511E77" w:rsidP="00511E77">
      <w:pPr>
        <w:pStyle w:val="ListParagraph"/>
        <w:widowControl/>
        <w:numPr>
          <w:ilvl w:val="1"/>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Consider B12 replacement.</w:t>
      </w:r>
    </w:p>
    <w:p w:rsidR="00511E77" w:rsidRPr="00511E77" w:rsidRDefault="00511E77" w:rsidP="00511E77">
      <w:pPr>
        <w:pStyle w:val="ListParagraph"/>
        <w:rPr>
          <w:rFonts w:ascii="Arial" w:eastAsia="Times New Roman" w:hAnsi="Arial" w:cs="Arial"/>
          <w:sz w:val="22"/>
          <w:szCs w:val="22"/>
        </w:rPr>
      </w:pPr>
    </w:p>
    <w:p w:rsidR="00511E77" w:rsidRP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Primary treatment is with IV Methylprednisolone and </w:t>
      </w:r>
      <w:proofErr w:type="spellStart"/>
      <w:r w:rsidRPr="00511E77">
        <w:rPr>
          <w:rFonts w:ascii="Arial" w:eastAsia="Times New Roman" w:hAnsi="Arial" w:cs="Arial"/>
          <w:sz w:val="22"/>
          <w:szCs w:val="22"/>
        </w:rPr>
        <w:t>IVIg</w:t>
      </w:r>
      <w:proofErr w:type="spellEnd"/>
      <w:r w:rsidRPr="00511E77">
        <w:rPr>
          <w:rFonts w:ascii="Arial" w:eastAsia="Times New Roman" w:hAnsi="Arial" w:cs="Arial"/>
          <w:sz w:val="22"/>
          <w:szCs w:val="22"/>
        </w:rPr>
        <w:t xml:space="preserve">.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Blood transfusion may be necessary if clinically indicated (profound symptomatic anaemia), but should only be given after discussion with the Haematology Consultant.</w:t>
      </w:r>
    </w:p>
    <w:p w:rsidR="00511E77" w:rsidRPr="00511E77" w:rsidRDefault="00511E77" w:rsidP="00511E77">
      <w:pPr>
        <w:pStyle w:val="ListParagraph"/>
        <w:rPr>
          <w:rFonts w:ascii="Arial" w:eastAsia="Times New Roman" w:hAnsi="Arial" w:cs="Arial"/>
          <w:sz w:val="22"/>
          <w:szCs w:val="22"/>
        </w:rPr>
      </w:pPr>
    </w:p>
    <w:p w:rsidR="00511E77" w:rsidRP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Phenotyped</w:t>
      </w:r>
      <w:proofErr w:type="spellEnd"/>
      <w:r w:rsidRPr="00511E77">
        <w:rPr>
          <w:rFonts w:ascii="Arial" w:eastAsia="Times New Roman" w:hAnsi="Arial" w:cs="Arial"/>
          <w:sz w:val="22"/>
          <w:szCs w:val="22"/>
        </w:rPr>
        <w:t xml:space="preserve"> blood should be given (CDE and </w:t>
      </w:r>
      <w:proofErr w:type="spellStart"/>
      <w:r w:rsidRPr="00511E77">
        <w:rPr>
          <w:rFonts w:ascii="Arial" w:eastAsia="Times New Roman" w:hAnsi="Arial" w:cs="Arial"/>
          <w:sz w:val="22"/>
          <w:szCs w:val="22"/>
        </w:rPr>
        <w:t>Kell</w:t>
      </w:r>
      <w:proofErr w:type="spellEnd"/>
      <w:r w:rsidRPr="00511E77">
        <w:rPr>
          <w:rFonts w:ascii="Arial" w:eastAsia="Times New Roman" w:hAnsi="Arial" w:cs="Arial"/>
          <w:sz w:val="22"/>
          <w:szCs w:val="22"/>
        </w:rPr>
        <w:t xml:space="preserve"> matched). </w:t>
      </w:r>
    </w:p>
    <w:p w:rsid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 </w:t>
      </w:r>
    </w:p>
    <w:p w:rsidR="00511E77" w:rsidRPr="00511E77" w:rsidRDefault="00511E77" w:rsidP="00511E77">
      <w:pPr>
        <w:pStyle w:val="ListParagraph"/>
        <w:widowControl/>
        <w:numPr>
          <w:ilvl w:val="0"/>
          <w:numId w:val="37"/>
        </w:numPr>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When a case of </w:t>
      </w:r>
      <w:proofErr w:type="spellStart"/>
      <w:r w:rsidRPr="00511E77">
        <w:rPr>
          <w:rFonts w:ascii="Arial" w:eastAsia="Times New Roman" w:hAnsi="Arial" w:cs="Arial"/>
          <w:sz w:val="22"/>
          <w:szCs w:val="22"/>
        </w:rPr>
        <w:t>hyperhaemolysis</w:t>
      </w:r>
      <w:proofErr w:type="spellEnd"/>
      <w:r w:rsidRPr="00511E77">
        <w:rPr>
          <w:rFonts w:ascii="Arial" w:eastAsia="Times New Roman" w:hAnsi="Arial" w:cs="Arial"/>
          <w:sz w:val="22"/>
          <w:szCs w:val="22"/>
        </w:rPr>
        <w:t xml:space="preserve"> is suspected, and having discussed with the Haematology Consultant, it is important to communicate the suspected diagnosis to the transfusion biomedical scientist who will add a comment to the patient record.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511E77">
      <w:pPr>
        <w:widowControl/>
        <w:autoSpaceDE/>
        <w:autoSpaceDN/>
        <w:adjustRightInd/>
        <w:spacing w:after="200" w:line="276" w:lineRule="auto"/>
        <w:rPr>
          <w:rFonts w:ascii="Arial" w:eastAsia="Times New Roman" w:hAnsi="Arial" w:cs="Arial"/>
          <w:b/>
          <w:sz w:val="22"/>
          <w:szCs w:val="22"/>
          <w:u w:val="single"/>
        </w:rPr>
      </w:pPr>
      <w:r>
        <w:rPr>
          <w:rFonts w:ascii="Arial" w:eastAsia="Times New Roman" w:hAnsi="Arial" w:cs="Arial"/>
          <w:b/>
          <w:sz w:val="22"/>
          <w:szCs w:val="22"/>
          <w:u w:val="single"/>
        </w:rPr>
        <w:br w:type="page"/>
      </w:r>
    </w:p>
    <w:p w:rsidR="00511E77" w:rsidRDefault="00511E77" w:rsidP="00511E77">
      <w:pPr>
        <w:widowControl/>
        <w:autoSpaceDE/>
        <w:autoSpaceDN/>
        <w:adjustRightInd/>
        <w:jc w:val="both"/>
        <w:rPr>
          <w:rFonts w:ascii="Arial" w:eastAsia="Times New Roman" w:hAnsi="Arial" w:cs="Arial"/>
          <w:b/>
          <w:sz w:val="22"/>
          <w:szCs w:val="22"/>
          <w:u w:val="single"/>
        </w:rPr>
      </w:pPr>
      <w:r w:rsidRPr="00511E77">
        <w:rPr>
          <w:rFonts w:ascii="Arial" w:eastAsia="Times New Roman" w:hAnsi="Arial" w:cs="Arial"/>
          <w:b/>
          <w:sz w:val="22"/>
          <w:szCs w:val="22"/>
          <w:u w:val="single"/>
        </w:rPr>
        <w:lastRenderedPageBreak/>
        <w:t>Dosage</w:t>
      </w:r>
    </w:p>
    <w:p w:rsidR="008A37DD" w:rsidRPr="00511E77" w:rsidRDefault="008A37DD" w:rsidP="00511E77">
      <w:pPr>
        <w:widowControl/>
        <w:autoSpaceDE/>
        <w:autoSpaceDN/>
        <w:adjustRightInd/>
        <w:jc w:val="both"/>
        <w:rPr>
          <w:rFonts w:ascii="Arial" w:eastAsia="Times New Roman" w:hAnsi="Arial" w:cs="Arial"/>
          <w:b/>
          <w:sz w:val="22"/>
          <w:szCs w:val="22"/>
          <w:u w:val="single"/>
        </w:rPr>
      </w:pPr>
    </w:p>
    <w:p w:rsidR="00511E77" w:rsidRPr="00511E77" w:rsidRDefault="00511E77" w:rsidP="00511E77">
      <w:pPr>
        <w:pStyle w:val="ListParagraph"/>
        <w:widowControl/>
        <w:numPr>
          <w:ilvl w:val="0"/>
          <w:numId w:val="38"/>
        </w:numPr>
        <w:autoSpaceDE/>
        <w:autoSpaceDN/>
        <w:adjustRightInd/>
        <w:jc w:val="both"/>
        <w:rPr>
          <w:rFonts w:ascii="Arial" w:eastAsia="Times New Roman" w:hAnsi="Arial" w:cs="Arial"/>
          <w:sz w:val="22"/>
          <w:szCs w:val="22"/>
        </w:rPr>
      </w:pPr>
      <w:r w:rsidRPr="00511E77">
        <w:rPr>
          <w:rFonts w:ascii="Arial" w:eastAsia="Times New Roman" w:hAnsi="Arial" w:cs="Arial"/>
          <w:b/>
          <w:sz w:val="22"/>
          <w:szCs w:val="22"/>
        </w:rPr>
        <w:t>Intravenous immunoglobulin (</w:t>
      </w:r>
      <w:proofErr w:type="spellStart"/>
      <w:r w:rsidRPr="00511E77">
        <w:rPr>
          <w:rFonts w:ascii="Arial" w:eastAsia="Times New Roman" w:hAnsi="Arial" w:cs="Arial"/>
          <w:b/>
          <w:sz w:val="22"/>
          <w:szCs w:val="22"/>
        </w:rPr>
        <w:t>IVIg</w:t>
      </w:r>
      <w:proofErr w:type="spellEnd"/>
      <w:r w:rsidRPr="00511E77">
        <w:rPr>
          <w:rFonts w:ascii="Arial" w:eastAsia="Times New Roman" w:hAnsi="Arial" w:cs="Arial"/>
          <w:b/>
          <w:sz w:val="22"/>
          <w:szCs w:val="22"/>
        </w:rPr>
        <w:t>)</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Adult and paediatric dose (unlicensed indication): 1g/kg once daily for 2 days (total dose = 2g/kg).  </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Administration and the choice of preparation </w:t>
      </w:r>
      <w:proofErr w:type="gramStart"/>
      <w:r w:rsidRPr="00511E77">
        <w:rPr>
          <w:rFonts w:ascii="Arial" w:eastAsia="Times New Roman" w:hAnsi="Arial" w:cs="Arial"/>
          <w:sz w:val="22"/>
          <w:szCs w:val="22"/>
        </w:rPr>
        <w:t>is</w:t>
      </w:r>
      <w:proofErr w:type="gramEnd"/>
      <w:r w:rsidRPr="00511E77">
        <w:rPr>
          <w:rFonts w:ascii="Arial" w:eastAsia="Times New Roman" w:hAnsi="Arial" w:cs="Arial"/>
          <w:sz w:val="22"/>
          <w:szCs w:val="22"/>
        </w:rPr>
        <w:t xml:space="preserve"> according to individual Trust guidance. Round the dose to nearest vial size (5g, 10g and 20g vials available).</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color w:val="000000"/>
          <w:sz w:val="22"/>
          <w:szCs w:val="22"/>
        </w:rPr>
        <w:t>IVIg</w:t>
      </w:r>
      <w:proofErr w:type="spellEnd"/>
      <w:r w:rsidRPr="00511E77">
        <w:rPr>
          <w:rFonts w:ascii="Arial" w:eastAsia="Times New Roman" w:hAnsi="Arial" w:cs="Arial"/>
          <w:color w:val="000000"/>
          <w:sz w:val="22"/>
          <w:szCs w:val="22"/>
        </w:rPr>
        <w:t xml:space="preserve"> use for this indication has been approved by the Immunoglobulin Assessment Panel 30</w:t>
      </w:r>
      <w:r w:rsidRPr="00511E77">
        <w:rPr>
          <w:rFonts w:ascii="Arial" w:eastAsia="Times New Roman" w:hAnsi="Arial" w:cs="Arial"/>
          <w:color w:val="000000"/>
          <w:sz w:val="22"/>
          <w:szCs w:val="22"/>
          <w:vertAlign w:val="superscript"/>
        </w:rPr>
        <w:t>th</w:t>
      </w:r>
      <w:r w:rsidRPr="00511E77">
        <w:rPr>
          <w:rFonts w:ascii="Arial" w:eastAsia="Times New Roman" w:hAnsi="Arial" w:cs="Arial"/>
          <w:color w:val="000000"/>
          <w:sz w:val="22"/>
          <w:szCs w:val="22"/>
        </w:rPr>
        <w:t xml:space="preserve"> November 2010.</w:t>
      </w:r>
      <w:r w:rsidRPr="00511E77">
        <w:rPr>
          <w:rFonts w:ascii="Arial" w:eastAsia="Times New Roman" w:hAnsi="Arial" w:cs="Arial"/>
          <w:color w:val="FF0000"/>
          <w:sz w:val="22"/>
          <w:szCs w:val="22"/>
        </w:rPr>
        <w:t xml:space="preserve"> </w:t>
      </w:r>
      <w:r w:rsidRPr="00511E77">
        <w:rPr>
          <w:rFonts w:ascii="Arial" w:eastAsia="Times New Roman" w:hAnsi="Arial" w:cs="Arial"/>
          <w:sz w:val="22"/>
          <w:szCs w:val="22"/>
        </w:rPr>
        <w:t>The Department of Health immunoglobulin guidelines have changed this indication from grey to blue.</w:t>
      </w:r>
      <w:r>
        <w:rPr>
          <w:rFonts w:ascii="Arial" w:eastAsia="Times New Roman" w:hAnsi="Arial" w:cs="Arial"/>
          <w:sz w:val="22"/>
          <w:szCs w:val="22"/>
        </w:rPr>
        <w:t xml:space="preserve"> </w:t>
      </w:r>
      <w:r w:rsidRPr="00511E77">
        <w:rPr>
          <w:rFonts w:ascii="Arial" w:eastAsia="Times New Roman" w:hAnsi="Arial" w:cs="Arial"/>
          <w:sz w:val="22"/>
          <w:szCs w:val="22"/>
        </w:rPr>
        <w:t>At St George’s</w:t>
      </w:r>
      <w:r>
        <w:rPr>
          <w:rFonts w:ascii="Arial" w:eastAsia="Times New Roman" w:hAnsi="Arial" w:cs="Arial"/>
          <w:sz w:val="22"/>
          <w:szCs w:val="22"/>
        </w:rPr>
        <w:t xml:space="preserve"> </w:t>
      </w:r>
      <w:proofErr w:type="spellStart"/>
      <w:r w:rsidRPr="00511E77">
        <w:rPr>
          <w:rFonts w:ascii="Arial" w:eastAsia="Times New Roman" w:hAnsi="Arial" w:cs="Arial"/>
          <w:sz w:val="22"/>
          <w:szCs w:val="22"/>
        </w:rPr>
        <w:t>IVIg</w:t>
      </w:r>
      <w:proofErr w:type="spellEnd"/>
      <w:r>
        <w:rPr>
          <w:rFonts w:ascii="Arial" w:eastAsia="Times New Roman" w:hAnsi="Arial" w:cs="Arial"/>
          <w:sz w:val="22"/>
          <w:szCs w:val="22"/>
        </w:rPr>
        <w:t xml:space="preserve"> is prescribed on specific request form and please</w:t>
      </w:r>
      <w:r w:rsidRPr="00511E77">
        <w:rPr>
          <w:rFonts w:ascii="Arial" w:eastAsia="Times New Roman" w:hAnsi="Arial" w:cs="Arial"/>
          <w:sz w:val="22"/>
          <w:szCs w:val="22"/>
        </w:rPr>
        <w:t xml:space="preserve"> contact pharmacy to expedite issue</w:t>
      </w:r>
    </w:p>
    <w:p w:rsidR="00511E77" w:rsidRPr="00511E77" w:rsidRDefault="00511E77" w:rsidP="00511E77">
      <w:pPr>
        <w:widowControl/>
        <w:autoSpaceDE/>
        <w:autoSpaceDN/>
        <w:adjustRightInd/>
        <w:jc w:val="both"/>
        <w:rPr>
          <w:rFonts w:ascii="Arial" w:eastAsia="Times New Roman" w:hAnsi="Arial" w:cs="Arial"/>
          <w:b/>
          <w:sz w:val="22"/>
          <w:szCs w:val="22"/>
        </w:rPr>
      </w:pPr>
    </w:p>
    <w:p w:rsidR="00511E77" w:rsidRPr="00511E77" w:rsidRDefault="00511E77" w:rsidP="00511E77">
      <w:pPr>
        <w:pStyle w:val="ListParagraph"/>
        <w:widowControl/>
        <w:numPr>
          <w:ilvl w:val="0"/>
          <w:numId w:val="38"/>
        </w:numPr>
        <w:autoSpaceDE/>
        <w:autoSpaceDN/>
        <w:adjustRightInd/>
        <w:jc w:val="both"/>
        <w:rPr>
          <w:rFonts w:ascii="Arial" w:eastAsia="Times New Roman" w:hAnsi="Arial" w:cs="Arial"/>
          <w:b/>
          <w:sz w:val="22"/>
          <w:szCs w:val="22"/>
        </w:rPr>
      </w:pPr>
      <w:r w:rsidRPr="00511E77">
        <w:rPr>
          <w:rFonts w:ascii="Arial" w:eastAsia="Times New Roman" w:hAnsi="Arial" w:cs="Arial"/>
          <w:b/>
          <w:sz w:val="22"/>
          <w:szCs w:val="22"/>
        </w:rPr>
        <w:t xml:space="preserve">Methylprednisolone </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Adults: 500mg IV for 2 days </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Paediatrics 10mg/kg IV for 2 days (maximum dose 500mg)</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Review dose after 2 days. </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Pr="00511E77" w:rsidRDefault="00511E77" w:rsidP="00511E77">
      <w:pPr>
        <w:pStyle w:val="ListParagraph"/>
        <w:widowControl/>
        <w:numPr>
          <w:ilvl w:val="0"/>
          <w:numId w:val="38"/>
        </w:numPr>
        <w:autoSpaceDE/>
        <w:autoSpaceDN/>
        <w:adjustRightInd/>
        <w:jc w:val="both"/>
        <w:rPr>
          <w:rFonts w:ascii="Arial" w:eastAsia="Times New Roman" w:hAnsi="Arial" w:cs="Arial"/>
          <w:b/>
          <w:sz w:val="22"/>
          <w:szCs w:val="22"/>
        </w:rPr>
      </w:pPr>
      <w:r w:rsidRPr="00511E77">
        <w:rPr>
          <w:rFonts w:ascii="Arial" w:eastAsia="Times New Roman" w:hAnsi="Arial" w:cs="Arial"/>
          <w:b/>
          <w:sz w:val="22"/>
          <w:szCs w:val="22"/>
        </w:rPr>
        <w:t>Erythropoietin</w:t>
      </w:r>
    </w:p>
    <w:p w:rsidR="00511E77" w:rsidRPr="00511E77" w:rsidRDefault="00511E77" w:rsidP="00511E77">
      <w:pPr>
        <w:widowControl/>
        <w:autoSpaceDE/>
        <w:autoSpaceDN/>
        <w:adjustRightInd/>
        <w:jc w:val="both"/>
        <w:rPr>
          <w:rFonts w:ascii="Arial" w:eastAsia="Times New Roman" w:hAnsi="Arial" w:cs="Arial"/>
          <w:sz w:val="22"/>
          <w:szCs w:val="22"/>
        </w:rPr>
      </w:pPr>
      <w:proofErr w:type="spellStart"/>
      <w:r w:rsidRPr="00511E77">
        <w:rPr>
          <w:rFonts w:ascii="Arial" w:eastAsia="Times New Roman" w:hAnsi="Arial" w:cs="Arial"/>
          <w:sz w:val="22"/>
          <w:szCs w:val="22"/>
        </w:rPr>
        <w:t>NeoRecormon</w:t>
      </w:r>
      <w:proofErr w:type="spellEnd"/>
      <w:r w:rsidRPr="00511E77">
        <w:rPr>
          <w:rFonts w:ascii="Arial" w:eastAsia="Times New Roman" w:hAnsi="Arial" w:cs="Arial"/>
          <w:sz w:val="22"/>
          <w:szCs w:val="22"/>
        </w:rPr>
        <w:t xml:space="preserve"> </w:t>
      </w:r>
      <w:proofErr w:type="gramStart"/>
      <w:r w:rsidRPr="00511E77">
        <w:rPr>
          <w:rFonts w:ascii="Arial" w:eastAsia="Times New Roman" w:hAnsi="Arial" w:cs="Arial"/>
          <w:sz w:val="22"/>
          <w:szCs w:val="22"/>
        </w:rPr>
        <w:t>300iu/kg</w:t>
      </w:r>
      <w:proofErr w:type="gramEnd"/>
      <w:r w:rsidRPr="00511E77">
        <w:rPr>
          <w:rFonts w:ascii="Arial" w:eastAsia="Times New Roman" w:hAnsi="Arial" w:cs="Arial"/>
          <w:sz w:val="22"/>
          <w:szCs w:val="22"/>
        </w:rPr>
        <w:t xml:space="preserve"> once daily for 5 days.</w:t>
      </w:r>
    </w:p>
    <w:p w:rsidR="00511E77" w:rsidRPr="00511E77" w:rsidRDefault="00511E77" w:rsidP="00511E77">
      <w:pPr>
        <w:widowControl/>
        <w:autoSpaceDE/>
        <w:autoSpaceDN/>
        <w:adjustRightInd/>
        <w:jc w:val="both"/>
        <w:rPr>
          <w:rFonts w:ascii="Arial" w:eastAsia="Times New Roman" w:hAnsi="Arial" w:cs="Arial"/>
          <w:sz w:val="22"/>
          <w:szCs w:val="22"/>
        </w:rPr>
      </w:pPr>
      <w:r w:rsidRPr="00511E77">
        <w:rPr>
          <w:rFonts w:ascii="Arial" w:eastAsia="Times New Roman" w:hAnsi="Arial" w:cs="Arial"/>
          <w:sz w:val="22"/>
          <w:szCs w:val="22"/>
        </w:rPr>
        <w:t xml:space="preserve">Then </w:t>
      </w:r>
      <w:proofErr w:type="gramStart"/>
      <w:r w:rsidRPr="00511E77">
        <w:rPr>
          <w:rFonts w:ascii="Arial" w:eastAsia="Times New Roman" w:hAnsi="Arial" w:cs="Arial"/>
          <w:sz w:val="22"/>
          <w:szCs w:val="22"/>
        </w:rPr>
        <w:t>300iu/kg</w:t>
      </w:r>
      <w:proofErr w:type="gramEnd"/>
      <w:r w:rsidRPr="00511E77">
        <w:rPr>
          <w:rFonts w:ascii="Arial" w:eastAsia="Times New Roman" w:hAnsi="Arial" w:cs="Arial"/>
          <w:sz w:val="22"/>
          <w:szCs w:val="22"/>
        </w:rPr>
        <w:t xml:space="preserve"> once daily on alternate days (i.e. 3 times per week).</w:t>
      </w:r>
    </w:p>
    <w:p w:rsidR="00511E77" w:rsidRPr="00511E77" w:rsidRDefault="00511E77" w:rsidP="00511E77">
      <w:pPr>
        <w:widowControl/>
        <w:autoSpaceDE/>
        <w:autoSpaceDN/>
        <w:adjustRightInd/>
        <w:jc w:val="both"/>
        <w:rPr>
          <w:rFonts w:ascii="Arial" w:eastAsia="Times New Roman" w:hAnsi="Arial" w:cs="Arial"/>
          <w:sz w:val="22"/>
          <w:szCs w:val="22"/>
        </w:rPr>
      </w:pPr>
    </w:p>
    <w:p w:rsidR="00511E77" w:rsidRDefault="008A37DD" w:rsidP="00511E77">
      <w:pPr>
        <w:widowControl/>
        <w:autoSpaceDE/>
        <w:autoSpaceDN/>
        <w:adjustRightInd/>
        <w:jc w:val="both"/>
        <w:rPr>
          <w:rFonts w:ascii="Arial" w:eastAsia="Times New Roman" w:hAnsi="Arial" w:cs="Arial"/>
          <w:sz w:val="22"/>
          <w:szCs w:val="22"/>
        </w:rPr>
      </w:pPr>
      <w:proofErr w:type="spellStart"/>
      <w:r w:rsidRPr="008A37DD">
        <w:rPr>
          <w:rFonts w:ascii="Arial" w:eastAsia="Times New Roman" w:hAnsi="Arial" w:cs="Arial"/>
          <w:sz w:val="22"/>
          <w:szCs w:val="22"/>
          <w:highlight w:val="yellow"/>
        </w:rPr>
        <w:t>Hyperhaemolysis</w:t>
      </w:r>
      <w:proofErr w:type="spellEnd"/>
      <w:r w:rsidRPr="008A37DD">
        <w:rPr>
          <w:rFonts w:ascii="Arial" w:eastAsia="Times New Roman" w:hAnsi="Arial" w:cs="Arial"/>
          <w:sz w:val="22"/>
          <w:szCs w:val="22"/>
          <w:highlight w:val="yellow"/>
        </w:rPr>
        <w:t xml:space="preserve"> can be severe and there are documented cases that have had fatal outcomes. If there is </w:t>
      </w:r>
      <w:proofErr w:type="spellStart"/>
      <w:r w:rsidRPr="008A37DD">
        <w:rPr>
          <w:rFonts w:ascii="Arial" w:eastAsia="Times New Roman" w:hAnsi="Arial" w:cs="Arial"/>
          <w:sz w:val="22"/>
          <w:szCs w:val="22"/>
          <w:highlight w:val="yellow"/>
        </w:rPr>
        <w:t>ongoing</w:t>
      </w:r>
      <w:proofErr w:type="spellEnd"/>
      <w:r w:rsidRPr="008A37DD">
        <w:rPr>
          <w:rFonts w:ascii="Arial" w:eastAsia="Times New Roman" w:hAnsi="Arial" w:cs="Arial"/>
          <w:sz w:val="22"/>
          <w:szCs w:val="22"/>
          <w:highlight w:val="yellow"/>
        </w:rPr>
        <w:t xml:space="preserve"> haemolysis despite actions above this must be discussed urgently with the haematology consultant for SCD. There are case reports of successful outcomes using </w:t>
      </w:r>
      <w:proofErr w:type="spellStart"/>
      <w:r w:rsidRPr="008A37DD">
        <w:rPr>
          <w:rFonts w:ascii="Arial" w:eastAsia="Times New Roman" w:hAnsi="Arial" w:cs="Arial"/>
          <w:sz w:val="22"/>
          <w:szCs w:val="22"/>
          <w:highlight w:val="yellow"/>
        </w:rPr>
        <w:t>eciluzimab</w:t>
      </w:r>
      <w:proofErr w:type="spellEnd"/>
      <w:r w:rsidRPr="008A37DD">
        <w:rPr>
          <w:rFonts w:ascii="Arial" w:eastAsia="Times New Roman" w:hAnsi="Arial" w:cs="Arial"/>
          <w:sz w:val="22"/>
          <w:szCs w:val="22"/>
          <w:highlight w:val="yellow"/>
        </w:rPr>
        <w:t xml:space="preserve"> and rituximab which are not licensed </w:t>
      </w:r>
      <w:proofErr w:type="gramStart"/>
      <w:r w:rsidRPr="008A37DD">
        <w:rPr>
          <w:rFonts w:ascii="Arial" w:eastAsia="Times New Roman" w:hAnsi="Arial" w:cs="Arial"/>
          <w:sz w:val="22"/>
          <w:szCs w:val="22"/>
          <w:highlight w:val="yellow"/>
        </w:rPr>
        <w:t>nor</w:t>
      </w:r>
      <w:proofErr w:type="gramEnd"/>
      <w:r w:rsidRPr="008A37DD">
        <w:rPr>
          <w:rFonts w:ascii="Arial" w:eastAsia="Times New Roman" w:hAnsi="Arial" w:cs="Arial"/>
          <w:sz w:val="22"/>
          <w:szCs w:val="22"/>
          <w:highlight w:val="yellow"/>
        </w:rPr>
        <w:t xml:space="preserve"> routinely funded currently but may need to be considered.</w:t>
      </w:r>
      <w:r>
        <w:rPr>
          <w:rFonts w:ascii="Arial" w:eastAsia="Times New Roman" w:hAnsi="Arial" w:cs="Arial"/>
          <w:sz w:val="22"/>
          <w:szCs w:val="22"/>
        </w:rPr>
        <w:t xml:space="preserve"> </w:t>
      </w:r>
    </w:p>
    <w:p w:rsidR="008A37DD" w:rsidRDefault="008A37DD" w:rsidP="00511E77">
      <w:pPr>
        <w:widowControl/>
        <w:autoSpaceDE/>
        <w:autoSpaceDN/>
        <w:adjustRightInd/>
        <w:jc w:val="both"/>
        <w:rPr>
          <w:rFonts w:ascii="Arial" w:eastAsia="Times New Roman" w:hAnsi="Arial" w:cs="Arial"/>
          <w:sz w:val="22"/>
          <w:szCs w:val="22"/>
        </w:rPr>
      </w:pPr>
    </w:p>
    <w:p w:rsidR="008A37DD" w:rsidRPr="00511E77" w:rsidRDefault="008A37DD" w:rsidP="00511E77">
      <w:pPr>
        <w:widowControl/>
        <w:autoSpaceDE/>
        <w:autoSpaceDN/>
        <w:adjustRightInd/>
        <w:jc w:val="both"/>
        <w:rPr>
          <w:rFonts w:ascii="Arial" w:eastAsia="Times New Roman" w:hAnsi="Arial" w:cs="Arial"/>
          <w:sz w:val="22"/>
          <w:szCs w:val="22"/>
        </w:rPr>
      </w:pPr>
    </w:p>
    <w:p w:rsidR="00511E77" w:rsidRPr="00511E77" w:rsidRDefault="00511E77" w:rsidP="00511E77">
      <w:pPr>
        <w:widowControl/>
        <w:autoSpaceDE/>
        <w:autoSpaceDN/>
        <w:adjustRightInd/>
        <w:jc w:val="both"/>
        <w:rPr>
          <w:rFonts w:ascii="Arial" w:eastAsia="Times New Roman" w:hAnsi="Arial" w:cs="Arial"/>
          <w:b/>
          <w:sz w:val="22"/>
          <w:szCs w:val="22"/>
          <w:u w:val="single"/>
        </w:rPr>
      </w:pPr>
      <w:r w:rsidRPr="00511E77">
        <w:rPr>
          <w:rFonts w:ascii="Arial" w:eastAsia="Times New Roman" w:hAnsi="Arial" w:cs="Arial"/>
          <w:b/>
          <w:sz w:val="22"/>
          <w:szCs w:val="22"/>
          <w:u w:val="single"/>
        </w:rPr>
        <w:t>Monitoring of treatment</w:t>
      </w:r>
      <w:r w:rsidRPr="00511E77" w:rsidDel="00816E58">
        <w:rPr>
          <w:rFonts w:ascii="Arial" w:eastAsia="Times New Roman" w:hAnsi="Arial" w:cs="Arial"/>
          <w:b/>
          <w:sz w:val="22"/>
          <w:szCs w:val="22"/>
          <w:u w:val="single"/>
        </w:rPr>
        <w:t xml:space="preserve"> </w:t>
      </w:r>
    </w:p>
    <w:p w:rsidR="00511E77" w:rsidRPr="008A37DD" w:rsidRDefault="00511E77" w:rsidP="008A37DD">
      <w:pPr>
        <w:pStyle w:val="ListParagraph"/>
        <w:widowControl/>
        <w:numPr>
          <w:ilvl w:val="0"/>
          <w:numId w:val="38"/>
        </w:numPr>
        <w:autoSpaceDE/>
        <w:autoSpaceDN/>
        <w:adjustRightInd/>
        <w:jc w:val="both"/>
        <w:rPr>
          <w:rFonts w:ascii="Arial" w:eastAsia="Times New Roman" w:hAnsi="Arial" w:cs="Arial"/>
          <w:sz w:val="22"/>
          <w:szCs w:val="22"/>
        </w:rPr>
      </w:pPr>
      <w:r w:rsidRPr="008A37DD">
        <w:rPr>
          <w:rFonts w:ascii="Arial" w:eastAsia="Times New Roman" w:hAnsi="Arial" w:cs="Arial"/>
          <w:sz w:val="22"/>
          <w:szCs w:val="22"/>
        </w:rPr>
        <w:t xml:space="preserve">Haemoglobin: Target is return of haemoglobin to baseline. </w:t>
      </w:r>
    </w:p>
    <w:p w:rsidR="00511E77" w:rsidRPr="008A37DD" w:rsidRDefault="00511E77" w:rsidP="008A37DD">
      <w:pPr>
        <w:pStyle w:val="ListParagraph"/>
        <w:widowControl/>
        <w:numPr>
          <w:ilvl w:val="0"/>
          <w:numId w:val="38"/>
        </w:numPr>
        <w:autoSpaceDE/>
        <w:autoSpaceDN/>
        <w:adjustRightInd/>
        <w:jc w:val="both"/>
        <w:rPr>
          <w:rFonts w:ascii="Arial" w:eastAsia="Times New Roman" w:hAnsi="Arial" w:cs="Arial"/>
          <w:sz w:val="22"/>
          <w:szCs w:val="22"/>
        </w:rPr>
      </w:pPr>
      <w:r w:rsidRPr="008A37DD">
        <w:rPr>
          <w:rFonts w:ascii="Arial" w:eastAsia="Times New Roman" w:hAnsi="Arial" w:cs="Arial"/>
          <w:sz w:val="22"/>
          <w:szCs w:val="22"/>
        </w:rPr>
        <w:t xml:space="preserve">Stop erythropoietin if the haemoglobin returns to baseline, or if lack of response after full treatment dose. </w:t>
      </w:r>
    </w:p>
    <w:p w:rsidR="00511E77" w:rsidRPr="00511E77" w:rsidRDefault="00511E77" w:rsidP="00511E77">
      <w:pPr>
        <w:widowControl/>
        <w:autoSpaceDE/>
        <w:autoSpaceDN/>
        <w:adjustRightInd/>
        <w:jc w:val="both"/>
        <w:rPr>
          <w:rFonts w:ascii="Arial" w:eastAsia="Times New Roman" w:hAnsi="Arial" w:cs="Arial"/>
          <w:b/>
          <w:sz w:val="22"/>
          <w:szCs w:val="22"/>
        </w:rPr>
      </w:pPr>
    </w:p>
    <w:p w:rsidR="00511E77" w:rsidRPr="00511E77" w:rsidRDefault="00511E77" w:rsidP="00511E77">
      <w:pPr>
        <w:widowControl/>
        <w:autoSpaceDE/>
        <w:autoSpaceDN/>
        <w:adjustRightInd/>
        <w:jc w:val="both"/>
        <w:rPr>
          <w:rFonts w:ascii="Arial" w:eastAsia="Times New Roman" w:hAnsi="Arial" w:cs="Arial"/>
          <w:b/>
          <w:sz w:val="22"/>
          <w:szCs w:val="22"/>
        </w:rPr>
      </w:pPr>
    </w:p>
    <w:p w:rsidR="00511E77" w:rsidRPr="00511E77" w:rsidRDefault="00511E77" w:rsidP="00511E77">
      <w:pPr>
        <w:widowControl/>
        <w:autoSpaceDE/>
        <w:autoSpaceDN/>
        <w:adjustRightInd/>
        <w:outlineLvl w:val="0"/>
        <w:rPr>
          <w:rFonts w:ascii="Arial" w:eastAsia="Times New Roman" w:hAnsi="Arial" w:cs="Arial"/>
          <w:b/>
          <w:sz w:val="22"/>
          <w:szCs w:val="22"/>
          <w:u w:val="single"/>
        </w:rPr>
      </w:pPr>
      <w:r w:rsidRPr="00511E77">
        <w:rPr>
          <w:rFonts w:ascii="Arial" w:eastAsia="Times New Roman" w:hAnsi="Arial" w:cs="Arial"/>
          <w:b/>
          <w:sz w:val="22"/>
          <w:szCs w:val="22"/>
          <w:u w:val="single"/>
        </w:rPr>
        <w:t>Monitoring of this Guideline</w:t>
      </w:r>
    </w:p>
    <w:p w:rsidR="00511E77" w:rsidRPr="008A37DD" w:rsidRDefault="00511E77" w:rsidP="008A37DD">
      <w:pPr>
        <w:pStyle w:val="ListParagraph"/>
        <w:widowControl/>
        <w:numPr>
          <w:ilvl w:val="0"/>
          <w:numId w:val="39"/>
        </w:numPr>
        <w:autoSpaceDE/>
        <w:autoSpaceDN/>
        <w:adjustRightInd/>
        <w:jc w:val="both"/>
        <w:rPr>
          <w:rFonts w:ascii="Arial" w:eastAsia="Times New Roman" w:hAnsi="Arial" w:cs="Arial"/>
          <w:b/>
          <w:sz w:val="22"/>
          <w:szCs w:val="22"/>
        </w:rPr>
      </w:pPr>
      <w:bookmarkStart w:id="0" w:name="_GoBack"/>
      <w:bookmarkEnd w:id="0"/>
      <w:r w:rsidRPr="008A37DD">
        <w:rPr>
          <w:rFonts w:ascii="Arial" w:eastAsia="Times New Roman" w:hAnsi="Arial" w:cs="Arial"/>
          <w:sz w:val="22"/>
          <w:szCs w:val="22"/>
        </w:rPr>
        <w:t xml:space="preserve">Use of </w:t>
      </w:r>
      <w:proofErr w:type="spellStart"/>
      <w:r w:rsidRPr="008A37DD">
        <w:rPr>
          <w:rFonts w:ascii="Arial" w:eastAsia="Times New Roman" w:hAnsi="Arial" w:cs="Arial"/>
          <w:sz w:val="22"/>
          <w:szCs w:val="22"/>
        </w:rPr>
        <w:t>IVIg</w:t>
      </w:r>
      <w:proofErr w:type="spellEnd"/>
      <w:r w:rsidRPr="008A37DD">
        <w:rPr>
          <w:rFonts w:ascii="Arial" w:eastAsia="Times New Roman" w:hAnsi="Arial" w:cs="Arial"/>
          <w:sz w:val="22"/>
          <w:szCs w:val="22"/>
        </w:rPr>
        <w:t xml:space="preserve"> for this indication will be monitored via the DH Immunoglobulin Demand Management Programme Database.</w:t>
      </w:r>
    </w:p>
    <w:p w:rsidR="00511E77" w:rsidRPr="00511E77" w:rsidRDefault="00511E77" w:rsidP="00511E77">
      <w:pPr>
        <w:tabs>
          <w:tab w:val="left" w:pos="640"/>
        </w:tabs>
        <w:kinsoku w:val="0"/>
        <w:overflowPunct w:val="0"/>
        <w:spacing w:line="276" w:lineRule="exact"/>
        <w:ind w:right="1"/>
        <w:rPr>
          <w:rFonts w:ascii="Arial" w:hAnsi="Arial" w:cs="Arial"/>
          <w:sz w:val="22"/>
          <w:szCs w:val="22"/>
        </w:rPr>
      </w:pPr>
    </w:p>
    <w:p w:rsidR="000F2EF9" w:rsidRPr="00511E77" w:rsidRDefault="000F2EF9" w:rsidP="000F2EF9">
      <w:pPr>
        <w:pStyle w:val="ListParagraph"/>
        <w:tabs>
          <w:tab w:val="left" w:pos="640"/>
        </w:tabs>
        <w:kinsoku w:val="0"/>
        <w:overflowPunct w:val="0"/>
        <w:spacing w:line="276" w:lineRule="exact"/>
        <w:ind w:left="360" w:right="1"/>
        <w:rPr>
          <w:rFonts w:ascii="Arial" w:hAnsi="Arial" w:cs="Arial"/>
          <w:sz w:val="22"/>
          <w:szCs w:val="22"/>
        </w:rPr>
      </w:pPr>
    </w:p>
    <w:p w:rsidR="00511E77" w:rsidRDefault="00511E77">
      <w:pPr>
        <w:widowControl/>
        <w:autoSpaceDE/>
        <w:autoSpaceDN/>
        <w:adjustRightInd/>
        <w:spacing w:after="200" w:line="276" w:lineRule="auto"/>
        <w:rPr>
          <w:rFonts w:ascii="Arial" w:hAnsi="Arial" w:cs="Arial"/>
          <w:b/>
          <w:bCs/>
          <w:sz w:val="22"/>
          <w:szCs w:val="22"/>
        </w:rPr>
      </w:pPr>
      <w:r>
        <w:rPr>
          <w:sz w:val="22"/>
          <w:szCs w:val="22"/>
        </w:rPr>
        <w:br w:type="page"/>
      </w:r>
    </w:p>
    <w:p w:rsidR="00FC5932" w:rsidRPr="00511E77" w:rsidRDefault="00FC5932" w:rsidP="002A1369">
      <w:pPr>
        <w:pStyle w:val="Heading2"/>
        <w:numPr>
          <w:ilvl w:val="0"/>
          <w:numId w:val="20"/>
        </w:numPr>
        <w:tabs>
          <w:tab w:val="left" w:pos="636"/>
        </w:tabs>
        <w:kinsoku w:val="0"/>
        <w:overflowPunct w:val="0"/>
        <w:ind w:right="1"/>
        <w:rPr>
          <w:b w:val="0"/>
          <w:bCs w:val="0"/>
          <w:sz w:val="22"/>
          <w:szCs w:val="22"/>
        </w:rPr>
      </w:pPr>
      <w:r w:rsidRPr="00511E77">
        <w:rPr>
          <w:sz w:val="22"/>
          <w:szCs w:val="22"/>
        </w:rPr>
        <w:lastRenderedPageBreak/>
        <w:t>Dissemination and</w:t>
      </w:r>
      <w:r w:rsidRPr="00511E77">
        <w:rPr>
          <w:spacing w:val="-1"/>
          <w:sz w:val="22"/>
          <w:szCs w:val="22"/>
        </w:rPr>
        <w:t xml:space="preserve"> </w:t>
      </w:r>
      <w:r w:rsidRPr="00511E77">
        <w:rPr>
          <w:sz w:val="22"/>
          <w:szCs w:val="22"/>
        </w:rPr>
        <w:t>implementation</w:t>
      </w:r>
    </w:p>
    <w:p w:rsidR="00FC5932" w:rsidRPr="00511E77" w:rsidRDefault="00FC5932" w:rsidP="00FC5932">
      <w:pPr>
        <w:pStyle w:val="BodyText"/>
        <w:kinsoku w:val="0"/>
        <w:overflowPunct w:val="0"/>
        <w:spacing w:before="1"/>
        <w:ind w:left="0"/>
        <w:rPr>
          <w:b/>
          <w:bCs/>
        </w:rPr>
      </w:pPr>
    </w:p>
    <w:p w:rsidR="00F53907" w:rsidRPr="00511E77" w:rsidRDefault="00F53907" w:rsidP="00F53907">
      <w:pPr>
        <w:pStyle w:val="Heading3"/>
        <w:kinsoku w:val="0"/>
        <w:overflowPunct w:val="0"/>
        <w:spacing w:line="252" w:lineRule="exact"/>
        <w:ind w:left="640"/>
        <w:jc w:val="both"/>
        <w:rPr>
          <w:b w:val="0"/>
          <w:bCs w:val="0"/>
        </w:rPr>
      </w:pPr>
      <w:r w:rsidRPr="00511E77">
        <w:t>7.1</w:t>
      </w:r>
      <w:r w:rsidRPr="00511E77">
        <w:rPr>
          <w:spacing w:val="-4"/>
        </w:rPr>
        <w:t xml:space="preserve"> </w:t>
      </w:r>
      <w:r w:rsidRPr="00511E77">
        <w:t>Dissemination:</w:t>
      </w:r>
    </w:p>
    <w:p w:rsidR="00F53907" w:rsidRPr="00511E77" w:rsidRDefault="00F53907" w:rsidP="00F53907">
      <w:pPr>
        <w:pStyle w:val="BodyText"/>
        <w:kinsoku w:val="0"/>
        <w:overflowPunct w:val="0"/>
        <w:ind w:right="112"/>
        <w:jc w:val="both"/>
      </w:pPr>
      <w:r w:rsidRPr="00511E77">
        <w:t xml:space="preserve">Guidelines will be available on the departmental intranet page and available in paper form in the junior doctor office in haematology. </w:t>
      </w:r>
    </w:p>
    <w:p w:rsidR="00F53907" w:rsidRPr="00511E77" w:rsidRDefault="00F53907" w:rsidP="00F53907">
      <w:pPr>
        <w:pStyle w:val="BodyText"/>
        <w:kinsoku w:val="0"/>
        <w:overflowPunct w:val="0"/>
        <w:ind w:left="0"/>
      </w:pPr>
    </w:p>
    <w:p w:rsidR="00F53907" w:rsidRPr="00511E77" w:rsidRDefault="00F53907" w:rsidP="00F53907">
      <w:pPr>
        <w:pStyle w:val="Heading3"/>
        <w:kinsoku w:val="0"/>
        <w:overflowPunct w:val="0"/>
        <w:spacing w:line="252" w:lineRule="exact"/>
        <w:ind w:left="640"/>
        <w:jc w:val="both"/>
        <w:rPr>
          <w:b w:val="0"/>
          <w:bCs w:val="0"/>
        </w:rPr>
      </w:pPr>
      <w:r w:rsidRPr="00511E77">
        <w:t>7.2.</w:t>
      </w:r>
      <w:r w:rsidRPr="00511E77">
        <w:rPr>
          <w:spacing w:val="-4"/>
        </w:rPr>
        <w:t xml:space="preserve"> </w:t>
      </w:r>
      <w:r w:rsidRPr="00511E77">
        <w:t>Implementation</w:t>
      </w:r>
    </w:p>
    <w:p w:rsidR="00F53907" w:rsidRPr="00511E77" w:rsidRDefault="00F53907" w:rsidP="00F53907">
      <w:pPr>
        <w:pStyle w:val="BodyText"/>
        <w:kinsoku w:val="0"/>
        <w:overflowPunct w:val="0"/>
        <w:ind w:right="1"/>
      </w:pPr>
      <w:r w:rsidRPr="00511E77">
        <w:t xml:space="preserve">Guidelines will be promoted by the </w:t>
      </w:r>
      <w:proofErr w:type="spellStart"/>
      <w:r w:rsidRPr="00511E77">
        <w:t>haemoglobinopathy</w:t>
      </w:r>
      <w:proofErr w:type="spellEnd"/>
      <w:r w:rsidRPr="00511E77">
        <w:t xml:space="preserve"> team</w:t>
      </w:r>
      <w:r w:rsidR="00A00023" w:rsidRPr="00511E77">
        <w:t>.</w:t>
      </w:r>
    </w:p>
    <w:p w:rsidR="00F53907" w:rsidRPr="00511E77" w:rsidRDefault="00F53907" w:rsidP="00F53907">
      <w:pPr>
        <w:pStyle w:val="BodyText"/>
        <w:kinsoku w:val="0"/>
        <w:overflowPunct w:val="0"/>
        <w:spacing w:before="1"/>
        <w:ind w:left="0"/>
      </w:pPr>
    </w:p>
    <w:p w:rsidR="00F53907" w:rsidRPr="00511E77" w:rsidRDefault="00F53907" w:rsidP="00F53907">
      <w:pPr>
        <w:pStyle w:val="Heading2"/>
        <w:numPr>
          <w:ilvl w:val="0"/>
          <w:numId w:val="20"/>
        </w:numPr>
        <w:tabs>
          <w:tab w:val="left" w:pos="640"/>
        </w:tabs>
        <w:kinsoku w:val="0"/>
        <w:overflowPunct w:val="0"/>
        <w:spacing w:line="276" w:lineRule="exact"/>
        <w:ind w:left="639" w:right="1" w:hanging="539"/>
        <w:rPr>
          <w:b w:val="0"/>
          <w:bCs w:val="0"/>
          <w:sz w:val="22"/>
          <w:szCs w:val="22"/>
        </w:rPr>
      </w:pPr>
      <w:r w:rsidRPr="00511E77">
        <w:rPr>
          <w:bCs w:val="0"/>
          <w:sz w:val="22"/>
          <w:szCs w:val="22"/>
        </w:rPr>
        <w:t>Consequences of Breaching the Policy</w:t>
      </w:r>
    </w:p>
    <w:p w:rsidR="00F53907" w:rsidRPr="00511E77" w:rsidRDefault="00F53907" w:rsidP="00F53907">
      <w:pPr>
        <w:pStyle w:val="Heading2"/>
        <w:tabs>
          <w:tab w:val="left" w:pos="640"/>
        </w:tabs>
        <w:kinsoku w:val="0"/>
        <w:overflowPunct w:val="0"/>
        <w:spacing w:line="276" w:lineRule="exact"/>
        <w:ind w:left="639" w:right="1" w:firstLine="0"/>
        <w:rPr>
          <w:b w:val="0"/>
          <w:bCs w:val="0"/>
          <w:sz w:val="22"/>
          <w:szCs w:val="22"/>
        </w:rPr>
      </w:pPr>
    </w:p>
    <w:p w:rsidR="00F53907" w:rsidRPr="00511E77" w:rsidRDefault="00F53907" w:rsidP="00F53907">
      <w:pPr>
        <w:pStyle w:val="Heading2"/>
        <w:tabs>
          <w:tab w:val="left" w:pos="640"/>
        </w:tabs>
        <w:kinsoku w:val="0"/>
        <w:overflowPunct w:val="0"/>
        <w:spacing w:line="276" w:lineRule="exact"/>
        <w:ind w:left="639" w:right="1" w:firstLine="0"/>
        <w:rPr>
          <w:b w:val="0"/>
          <w:bCs w:val="0"/>
          <w:sz w:val="22"/>
          <w:szCs w:val="22"/>
        </w:rPr>
      </w:pPr>
      <w:r w:rsidRPr="00511E77">
        <w:rPr>
          <w:b w:val="0"/>
          <w:bCs w:val="0"/>
          <w:sz w:val="22"/>
          <w:szCs w:val="22"/>
        </w:rPr>
        <w:t xml:space="preserve">Failing to follow this policy could lead to action under the Trust’s disciplinary policy.  </w:t>
      </w:r>
    </w:p>
    <w:p w:rsidR="00F53907" w:rsidRPr="00511E77" w:rsidRDefault="00F53907" w:rsidP="00F53907">
      <w:pPr>
        <w:rPr>
          <w:rFonts w:ascii="Arial" w:hAnsi="Arial" w:cs="Arial"/>
          <w:sz w:val="22"/>
          <w:szCs w:val="22"/>
        </w:rPr>
      </w:pPr>
    </w:p>
    <w:p w:rsidR="00F53907" w:rsidRPr="00511E77" w:rsidRDefault="00F53907" w:rsidP="00F53907">
      <w:pPr>
        <w:pStyle w:val="Heading2"/>
        <w:numPr>
          <w:ilvl w:val="0"/>
          <w:numId w:val="20"/>
        </w:numPr>
        <w:tabs>
          <w:tab w:val="left" w:pos="640"/>
        </w:tabs>
        <w:kinsoku w:val="0"/>
        <w:overflowPunct w:val="0"/>
        <w:spacing w:line="276" w:lineRule="exact"/>
        <w:ind w:left="639" w:right="1" w:hanging="539"/>
        <w:rPr>
          <w:b w:val="0"/>
          <w:bCs w:val="0"/>
          <w:sz w:val="22"/>
          <w:szCs w:val="22"/>
        </w:rPr>
      </w:pPr>
      <w:r w:rsidRPr="00511E77">
        <w:rPr>
          <w:sz w:val="22"/>
          <w:szCs w:val="22"/>
        </w:rPr>
        <w:t>Monitoring</w:t>
      </w:r>
      <w:r w:rsidRPr="00511E77">
        <w:rPr>
          <w:spacing w:val="-1"/>
          <w:sz w:val="22"/>
          <w:szCs w:val="22"/>
        </w:rPr>
        <w:t xml:space="preserve"> </w:t>
      </w:r>
      <w:r w:rsidRPr="00511E77">
        <w:rPr>
          <w:sz w:val="22"/>
          <w:szCs w:val="22"/>
        </w:rPr>
        <w:t>compliance</w:t>
      </w:r>
    </w:p>
    <w:p w:rsidR="00FC5932" w:rsidRDefault="00F53907" w:rsidP="00F53907">
      <w:pPr>
        <w:pStyle w:val="BodyText"/>
        <w:kinsoku w:val="0"/>
        <w:overflowPunct w:val="0"/>
        <w:jc w:val="both"/>
        <w:sectPr w:rsidR="00FC5932">
          <w:pgSz w:w="11900" w:h="16840"/>
          <w:pgMar w:top="360" w:right="1320" w:bottom="1060" w:left="980" w:header="0" w:footer="878" w:gutter="0"/>
          <w:cols w:space="720" w:equalWidth="0">
            <w:col w:w="9600"/>
          </w:cols>
          <w:noEndnote/>
        </w:sectPr>
      </w:pPr>
      <w:r w:rsidRPr="00511E77">
        <w:t>The table below outlines the</w:t>
      </w:r>
      <w:r w:rsidRPr="0024421F">
        <w:t xml:space="preserve"> process for monitoring compliance with this</w:t>
      </w:r>
      <w:r w:rsidRPr="0024421F">
        <w:rPr>
          <w:spacing w:val="-18"/>
        </w:rPr>
        <w:t xml:space="preserve"> </w:t>
      </w:r>
      <w:r w:rsidRPr="0024421F">
        <w:t>document</w:t>
      </w:r>
      <w:r>
        <w:t>.</w:t>
      </w: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5"/>
        <w:ind w:left="0"/>
        <w:rPr>
          <w:i/>
          <w:iCs/>
          <w:sz w:val="25"/>
          <w:szCs w:val="25"/>
        </w:rPr>
      </w:pPr>
    </w:p>
    <w:tbl>
      <w:tblPr>
        <w:tblW w:w="0" w:type="auto"/>
        <w:tblInd w:w="110" w:type="dxa"/>
        <w:tblLayout w:type="fixed"/>
        <w:tblCellMar>
          <w:left w:w="0" w:type="dxa"/>
          <w:right w:w="0" w:type="dxa"/>
        </w:tblCellMar>
        <w:tblLook w:val="0000" w:firstRow="0" w:lastRow="0" w:firstColumn="0" w:lastColumn="0" w:noHBand="0" w:noVBand="0"/>
      </w:tblPr>
      <w:tblGrid>
        <w:gridCol w:w="1908"/>
        <w:gridCol w:w="2520"/>
        <w:gridCol w:w="2700"/>
        <w:gridCol w:w="2601"/>
        <w:gridCol w:w="2520"/>
        <w:gridCol w:w="2520"/>
      </w:tblGrid>
      <w:tr w:rsidR="00FC5932">
        <w:trPr>
          <w:trHeight w:hRule="exact" w:val="540"/>
        </w:trPr>
        <w:tc>
          <w:tcPr>
            <w:tcW w:w="14769" w:type="dxa"/>
            <w:gridSpan w:val="6"/>
            <w:tcBorders>
              <w:top w:val="single" w:sz="4" w:space="0" w:color="000000"/>
              <w:left w:val="single" w:sz="4" w:space="0" w:color="000000"/>
              <w:bottom w:val="single" w:sz="4" w:space="0" w:color="000000"/>
              <w:right w:val="single" w:sz="4" w:space="0" w:color="000000"/>
            </w:tcBorders>
          </w:tcPr>
          <w:p w:rsidR="00FC5932" w:rsidRDefault="00FC5932" w:rsidP="0098329C">
            <w:pPr>
              <w:pStyle w:val="TableParagraph"/>
              <w:kinsoku w:val="0"/>
              <w:overflowPunct w:val="0"/>
              <w:spacing w:line="275" w:lineRule="exact"/>
              <w:ind w:left="4712"/>
            </w:pPr>
            <w:r>
              <w:rPr>
                <w:rFonts w:ascii="Arial" w:hAnsi="Arial" w:cs="Arial"/>
                <w:b/>
                <w:bCs/>
              </w:rPr>
              <w:t>Monitoring compliance and effectiveness</w:t>
            </w:r>
            <w:r>
              <w:rPr>
                <w:rFonts w:ascii="Arial" w:hAnsi="Arial" w:cs="Arial"/>
                <w:b/>
                <w:bCs/>
                <w:spacing w:val="-37"/>
              </w:rPr>
              <w:t xml:space="preserve"> </w:t>
            </w:r>
            <w:r>
              <w:rPr>
                <w:rFonts w:ascii="Arial" w:hAnsi="Arial" w:cs="Arial"/>
                <w:b/>
                <w:bCs/>
              </w:rPr>
              <w:t>table</w:t>
            </w:r>
          </w:p>
        </w:tc>
      </w:tr>
      <w:tr w:rsidR="00FC5932">
        <w:trPr>
          <w:trHeight w:hRule="exact" w:val="1062"/>
        </w:trPr>
        <w:tc>
          <w:tcPr>
            <w:tcW w:w="1908"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349"/>
            </w:pPr>
            <w:r>
              <w:rPr>
                <w:rFonts w:ascii="Arial" w:hAnsi="Arial" w:cs="Arial"/>
                <w:b/>
                <w:bCs/>
                <w:sz w:val="22"/>
                <w:szCs w:val="22"/>
              </w:rPr>
              <w:t>Element/</w:t>
            </w:r>
            <w:r>
              <w:rPr>
                <w:rFonts w:ascii="Arial" w:hAnsi="Arial" w:cs="Arial"/>
                <w:b/>
                <w:bCs/>
                <w:w w:val="99"/>
                <w:sz w:val="22"/>
                <w:szCs w:val="22"/>
              </w:rPr>
              <w:t xml:space="preserve"> </w:t>
            </w:r>
            <w:r>
              <w:rPr>
                <w:rFonts w:ascii="Arial" w:hAnsi="Arial" w:cs="Arial"/>
                <w:b/>
                <w:bCs/>
                <w:sz w:val="22"/>
                <w:szCs w:val="22"/>
              </w:rPr>
              <w:t>Activity</w:t>
            </w:r>
            <w:r>
              <w:rPr>
                <w:rFonts w:ascii="Arial" w:hAnsi="Arial" w:cs="Arial"/>
                <w:b/>
                <w:bCs/>
                <w:spacing w:val="-4"/>
                <w:sz w:val="22"/>
                <w:szCs w:val="22"/>
              </w:rPr>
              <w:t xml:space="preserve"> </w:t>
            </w:r>
            <w:r>
              <w:rPr>
                <w:rFonts w:ascii="Arial" w:hAnsi="Arial" w:cs="Arial"/>
                <w:b/>
                <w:bCs/>
                <w:sz w:val="22"/>
                <w:szCs w:val="22"/>
              </w:rPr>
              <w:t>being</w:t>
            </w:r>
            <w:r>
              <w:rPr>
                <w:rFonts w:ascii="Arial" w:hAnsi="Arial" w:cs="Arial"/>
                <w:b/>
                <w:bCs/>
                <w:w w:val="99"/>
                <w:sz w:val="22"/>
                <w:szCs w:val="22"/>
              </w:rPr>
              <w:t xml:space="preserve"> </w:t>
            </w:r>
            <w:r>
              <w:rPr>
                <w:rFonts w:ascii="Arial" w:hAnsi="Arial" w:cs="Arial"/>
                <w:b/>
                <w:bCs/>
                <w:sz w:val="22"/>
                <w:szCs w:val="22"/>
              </w:rPr>
              <w:t>monitored</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pPr>
            <w:r>
              <w:rPr>
                <w:rFonts w:ascii="Arial" w:hAnsi="Arial" w:cs="Arial"/>
                <w:b/>
                <w:bCs/>
                <w:sz w:val="22"/>
                <w:szCs w:val="22"/>
              </w:rPr>
              <w:t>Lead/role</w:t>
            </w:r>
          </w:p>
        </w:tc>
        <w:tc>
          <w:tcPr>
            <w:tcW w:w="270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08"/>
            </w:pPr>
            <w:r>
              <w:rPr>
                <w:rFonts w:ascii="Arial" w:hAnsi="Arial" w:cs="Arial"/>
                <w:b/>
                <w:bCs/>
                <w:sz w:val="22"/>
                <w:szCs w:val="22"/>
              </w:rPr>
              <w:t>Methodology to</w:t>
            </w:r>
            <w:r>
              <w:rPr>
                <w:rFonts w:ascii="Arial" w:hAnsi="Arial" w:cs="Arial"/>
                <w:b/>
                <w:bCs/>
                <w:spacing w:val="-4"/>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used for</w:t>
            </w:r>
            <w:r>
              <w:rPr>
                <w:rFonts w:ascii="Arial" w:hAnsi="Arial" w:cs="Arial"/>
                <w:b/>
                <w:bCs/>
                <w:spacing w:val="-4"/>
                <w:sz w:val="22"/>
                <w:szCs w:val="22"/>
              </w:rPr>
              <w:t xml:space="preserve"> </w:t>
            </w:r>
            <w:r>
              <w:rPr>
                <w:rFonts w:ascii="Arial" w:hAnsi="Arial" w:cs="Arial"/>
                <w:b/>
                <w:bCs/>
                <w:sz w:val="22"/>
                <w:szCs w:val="22"/>
              </w:rPr>
              <w:t>monitoring</w:t>
            </w:r>
          </w:p>
        </w:tc>
        <w:tc>
          <w:tcPr>
            <w:tcW w:w="2601"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823"/>
            </w:pPr>
            <w:r>
              <w:rPr>
                <w:rFonts w:ascii="Arial" w:hAnsi="Arial" w:cs="Arial"/>
                <w:b/>
                <w:bCs/>
                <w:sz w:val="22"/>
                <w:szCs w:val="22"/>
              </w:rPr>
              <w:t>Frequency</w:t>
            </w:r>
            <w:r>
              <w:rPr>
                <w:rFonts w:ascii="Arial" w:hAnsi="Arial" w:cs="Arial"/>
                <w:b/>
                <w:bCs/>
                <w:spacing w:val="-2"/>
                <w:sz w:val="22"/>
                <w:szCs w:val="22"/>
              </w:rPr>
              <w:t xml:space="preserve"> </w:t>
            </w:r>
            <w:r>
              <w:rPr>
                <w:rFonts w:ascii="Arial" w:hAnsi="Arial" w:cs="Arial"/>
                <w:b/>
                <w:bCs/>
                <w:sz w:val="22"/>
                <w:szCs w:val="22"/>
              </w:rPr>
              <w:t>of</w:t>
            </w:r>
            <w:r>
              <w:rPr>
                <w:rFonts w:ascii="Arial" w:hAnsi="Arial" w:cs="Arial"/>
                <w:b/>
                <w:bCs/>
                <w:w w:val="99"/>
                <w:sz w:val="22"/>
                <w:szCs w:val="22"/>
              </w:rPr>
              <w:t xml:space="preserve"> </w:t>
            </w:r>
            <w:r>
              <w:rPr>
                <w:rFonts w:ascii="Arial" w:hAnsi="Arial" w:cs="Arial"/>
                <w:b/>
                <w:bCs/>
                <w:sz w:val="22"/>
                <w:szCs w:val="22"/>
              </w:rPr>
              <w:t>monitoring</w:t>
            </w:r>
            <w:r>
              <w:rPr>
                <w:rFonts w:ascii="Arial" w:hAnsi="Arial" w:cs="Arial"/>
                <w:b/>
                <w:bCs/>
                <w:spacing w:val="58"/>
                <w:sz w:val="22"/>
                <w:szCs w:val="22"/>
              </w:rPr>
              <w:t xml:space="preserve"> </w:t>
            </w:r>
            <w:r>
              <w:rPr>
                <w:rFonts w:ascii="Arial" w:hAnsi="Arial" w:cs="Arial"/>
                <w:b/>
                <w:bCs/>
                <w:sz w:val="22"/>
                <w:szCs w:val="22"/>
              </w:rPr>
              <w:t>and</w:t>
            </w:r>
            <w:r>
              <w:rPr>
                <w:rFonts w:ascii="Arial" w:hAnsi="Arial" w:cs="Arial"/>
                <w:b/>
                <w:bCs/>
                <w:w w:val="99"/>
                <w:sz w:val="22"/>
                <w:szCs w:val="22"/>
              </w:rPr>
              <w:t xml:space="preserve"> </w:t>
            </w:r>
            <w:r>
              <w:rPr>
                <w:rFonts w:ascii="Arial" w:hAnsi="Arial" w:cs="Arial"/>
                <w:b/>
                <w:bCs/>
                <w:sz w:val="22"/>
                <w:szCs w:val="22"/>
              </w:rPr>
              <w:t>Reporting</w:t>
            </w:r>
            <w:r>
              <w:rPr>
                <w:rFonts w:ascii="Arial" w:hAnsi="Arial" w:cs="Arial"/>
                <w:b/>
                <w:bCs/>
                <w:w w:val="99"/>
                <w:sz w:val="22"/>
                <w:szCs w:val="22"/>
              </w:rPr>
              <w:t xml:space="preserve"> </w:t>
            </w:r>
            <w:r>
              <w:rPr>
                <w:rFonts w:ascii="Arial" w:hAnsi="Arial" w:cs="Arial"/>
                <w:b/>
                <w:bCs/>
                <w:sz w:val="22"/>
                <w:szCs w:val="22"/>
              </w:rPr>
              <w:t>arrangements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510"/>
            </w:pPr>
            <w:r>
              <w:rPr>
                <w:rFonts w:ascii="Arial" w:hAnsi="Arial" w:cs="Arial"/>
                <w:b/>
                <w:bCs/>
                <w:sz w:val="22"/>
                <w:szCs w:val="22"/>
              </w:rPr>
              <w:t>Acting</w:t>
            </w:r>
            <w:r>
              <w:rPr>
                <w:rFonts w:ascii="Arial" w:hAnsi="Arial" w:cs="Arial"/>
                <w:b/>
                <w:bCs/>
                <w:spacing w:val="-1"/>
                <w:sz w:val="22"/>
                <w:szCs w:val="22"/>
              </w:rPr>
              <w:t xml:space="preserve"> </w:t>
            </w:r>
            <w:r>
              <w:rPr>
                <w:rFonts w:ascii="Arial" w:hAnsi="Arial" w:cs="Arial"/>
                <w:b/>
                <w:bCs/>
                <w:sz w:val="22"/>
                <w:szCs w:val="22"/>
              </w:rPr>
              <w:t>on</w:t>
            </w:r>
            <w:r>
              <w:rPr>
                <w:rFonts w:ascii="Arial" w:hAnsi="Arial" w:cs="Arial"/>
                <w:b/>
                <w:bCs/>
                <w:w w:val="99"/>
                <w:sz w:val="22"/>
                <w:szCs w:val="22"/>
              </w:rPr>
              <w:t xml:space="preserve"> </w:t>
            </w:r>
            <w:r>
              <w:rPr>
                <w:rFonts w:ascii="Arial" w:hAnsi="Arial" w:cs="Arial"/>
                <w:b/>
                <w:bCs/>
                <w:sz w:val="22"/>
                <w:szCs w:val="22"/>
              </w:rPr>
              <w:t>recommendations</w:t>
            </w:r>
            <w:r>
              <w:rPr>
                <w:rFonts w:ascii="Arial" w:hAnsi="Arial" w:cs="Arial"/>
                <w:b/>
                <w:bCs/>
                <w:w w:val="99"/>
                <w:sz w:val="22"/>
                <w:szCs w:val="22"/>
              </w:rPr>
              <w:t xml:space="preserve"> </w:t>
            </w:r>
            <w:r>
              <w:rPr>
                <w:rFonts w:ascii="Arial" w:hAnsi="Arial" w:cs="Arial"/>
                <w:b/>
                <w:bCs/>
                <w:sz w:val="22"/>
                <w:szCs w:val="22"/>
              </w:rPr>
              <w:t>and</w:t>
            </w:r>
            <w:r>
              <w:rPr>
                <w:rFonts w:ascii="Arial" w:hAnsi="Arial" w:cs="Arial"/>
                <w:b/>
                <w:bCs/>
                <w:spacing w:val="-2"/>
                <w:sz w:val="22"/>
                <w:szCs w:val="22"/>
              </w:rPr>
              <w:t xml:space="preserve"> </w:t>
            </w:r>
            <w:r>
              <w:rPr>
                <w:rFonts w:ascii="Arial" w:hAnsi="Arial" w:cs="Arial"/>
                <w:b/>
                <w:bCs/>
                <w:sz w:val="22"/>
                <w:szCs w:val="22"/>
              </w:rPr>
              <w:t>Leads</w:t>
            </w:r>
          </w:p>
        </w:tc>
        <w:tc>
          <w:tcPr>
            <w:tcW w:w="2520" w:type="dxa"/>
            <w:tcBorders>
              <w:top w:val="single" w:sz="4" w:space="0" w:color="000000"/>
              <w:left w:val="single" w:sz="4" w:space="0" w:color="000000"/>
              <w:bottom w:val="single" w:sz="4" w:space="0" w:color="000000"/>
              <w:right w:val="single" w:sz="4" w:space="0" w:color="000000"/>
            </w:tcBorders>
            <w:shd w:val="clear" w:color="auto" w:fill="C0C0C0"/>
          </w:tcPr>
          <w:p w:rsidR="00FC5932" w:rsidRDefault="00FC5932" w:rsidP="0098329C">
            <w:pPr>
              <w:pStyle w:val="TableParagraph"/>
              <w:kinsoku w:val="0"/>
              <w:overflowPunct w:val="0"/>
              <w:ind w:left="103" w:right="436"/>
            </w:pPr>
            <w:r>
              <w:rPr>
                <w:rFonts w:ascii="Arial" w:hAnsi="Arial" w:cs="Arial"/>
                <w:b/>
                <w:bCs/>
                <w:sz w:val="22"/>
                <w:szCs w:val="22"/>
              </w:rPr>
              <w:t>Change in</w:t>
            </w:r>
            <w:r>
              <w:rPr>
                <w:rFonts w:ascii="Arial" w:hAnsi="Arial" w:cs="Arial"/>
                <w:b/>
                <w:bCs/>
                <w:spacing w:val="-3"/>
                <w:sz w:val="22"/>
                <w:szCs w:val="22"/>
              </w:rPr>
              <w:t xml:space="preserve"> </w:t>
            </w:r>
            <w:r>
              <w:rPr>
                <w:rFonts w:ascii="Arial" w:hAnsi="Arial" w:cs="Arial"/>
                <w:b/>
                <w:bCs/>
                <w:sz w:val="22"/>
                <w:szCs w:val="22"/>
              </w:rPr>
              <w:t>practice</w:t>
            </w:r>
            <w:r>
              <w:rPr>
                <w:rFonts w:ascii="Arial" w:hAnsi="Arial" w:cs="Arial"/>
                <w:b/>
                <w:bCs/>
                <w:w w:val="99"/>
                <w:sz w:val="22"/>
                <w:szCs w:val="22"/>
              </w:rPr>
              <w:t xml:space="preserve"> </w:t>
            </w:r>
            <w:r>
              <w:rPr>
                <w:rFonts w:ascii="Arial" w:hAnsi="Arial" w:cs="Arial"/>
                <w:b/>
                <w:bCs/>
                <w:sz w:val="22"/>
                <w:szCs w:val="22"/>
              </w:rPr>
              <w:t>and lessons to</w:t>
            </w:r>
            <w:r>
              <w:rPr>
                <w:rFonts w:ascii="Arial" w:hAnsi="Arial" w:cs="Arial"/>
                <w:b/>
                <w:bCs/>
                <w:spacing w:val="-2"/>
                <w:sz w:val="22"/>
                <w:szCs w:val="22"/>
              </w:rPr>
              <w:t xml:space="preserve"> </w:t>
            </w:r>
            <w:r>
              <w:rPr>
                <w:rFonts w:ascii="Arial" w:hAnsi="Arial" w:cs="Arial"/>
                <w:b/>
                <w:bCs/>
                <w:sz w:val="22"/>
                <w:szCs w:val="22"/>
              </w:rPr>
              <w:t>be</w:t>
            </w:r>
            <w:r>
              <w:rPr>
                <w:rFonts w:ascii="Arial" w:hAnsi="Arial" w:cs="Arial"/>
                <w:b/>
                <w:bCs/>
                <w:w w:val="99"/>
                <w:sz w:val="22"/>
                <w:szCs w:val="22"/>
              </w:rPr>
              <w:t xml:space="preserve"> </w:t>
            </w:r>
            <w:r>
              <w:rPr>
                <w:rFonts w:ascii="Arial" w:hAnsi="Arial" w:cs="Arial"/>
                <w:b/>
                <w:bCs/>
                <w:sz w:val="22"/>
                <w:szCs w:val="22"/>
              </w:rPr>
              <w:t>shared</w:t>
            </w:r>
          </w:p>
        </w:tc>
      </w:tr>
      <w:tr w:rsidR="002B791A" w:rsidTr="002B791A">
        <w:trPr>
          <w:trHeight w:hRule="exact" w:val="4142"/>
        </w:trPr>
        <w:tc>
          <w:tcPr>
            <w:tcW w:w="1908"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spacing w:line="206" w:lineRule="exact"/>
              <w:ind w:left="103"/>
              <w:rPr>
                <w:rFonts w:ascii="Arial" w:hAnsi="Arial" w:cs="Arial"/>
                <w:i/>
                <w:iCs/>
                <w:sz w:val="18"/>
                <w:szCs w:val="18"/>
              </w:rPr>
            </w:pPr>
            <w:r w:rsidRPr="002B791A">
              <w:rPr>
                <w:rFonts w:ascii="Arial" w:hAnsi="Arial" w:cs="Arial"/>
                <w:i/>
                <w:iCs/>
                <w:sz w:val="18"/>
                <w:szCs w:val="18"/>
              </w:rPr>
              <w:t>WMQRS peer review quality standards</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85"/>
              <w:rPr>
                <w:rFonts w:ascii="Arial" w:hAnsi="Arial" w:cs="Arial"/>
                <w:i/>
                <w:iCs/>
                <w:sz w:val="18"/>
                <w:szCs w:val="18"/>
              </w:rPr>
            </w:pPr>
            <w:r w:rsidRPr="002B791A">
              <w:rPr>
                <w:rFonts w:ascii="Arial" w:hAnsi="Arial" w:cs="Arial"/>
                <w:i/>
                <w:iCs/>
                <w:sz w:val="18"/>
                <w:szCs w:val="18"/>
              </w:rPr>
              <w:t>Consultant haematologist</w:t>
            </w:r>
          </w:p>
        </w:tc>
        <w:tc>
          <w:tcPr>
            <w:tcW w:w="270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197"/>
              <w:rPr>
                <w:rFonts w:ascii="Arial" w:hAnsi="Arial" w:cs="Arial"/>
                <w:i/>
                <w:iCs/>
                <w:sz w:val="18"/>
                <w:szCs w:val="18"/>
              </w:rPr>
            </w:pPr>
            <w:r w:rsidRPr="002B791A">
              <w:rPr>
                <w:rFonts w:ascii="Arial" w:hAnsi="Arial" w:cs="Arial"/>
                <w:i/>
                <w:iCs/>
                <w:sz w:val="18"/>
                <w:szCs w:val="18"/>
              </w:rPr>
              <w:t>As required (every 2-3 year)</w:t>
            </w:r>
          </w:p>
        </w:tc>
        <w:tc>
          <w:tcPr>
            <w:tcW w:w="2601"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The lead or committee</w:t>
            </w:r>
            <w:r w:rsidRPr="002B791A">
              <w:rPr>
                <w:rFonts w:ascii="Arial" w:hAnsi="Arial" w:cs="Arial"/>
                <w:i/>
                <w:iCs/>
                <w:sz w:val="18"/>
                <w:szCs w:val="18"/>
              </w:rPr>
              <w:t xml:space="preserve"> </w:t>
            </w:r>
            <w:r>
              <w:rPr>
                <w:rFonts w:ascii="Arial" w:hAnsi="Arial" w:cs="Arial"/>
                <w:i/>
                <w:iCs/>
                <w:sz w:val="18"/>
                <w:szCs w:val="18"/>
              </w:rPr>
              <w:t>is</w:t>
            </w:r>
            <w:r w:rsidRPr="002B791A">
              <w:rPr>
                <w:rFonts w:ascii="Arial" w:hAnsi="Arial" w:cs="Arial"/>
                <w:i/>
                <w:iCs/>
                <w:sz w:val="18"/>
                <w:szCs w:val="18"/>
              </w:rPr>
              <w:t xml:space="preserve"> </w:t>
            </w:r>
            <w:r>
              <w:rPr>
                <w:rFonts w:ascii="Arial" w:hAnsi="Arial" w:cs="Arial"/>
                <w:i/>
                <w:iCs/>
                <w:sz w:val="18"/>
                <w:szCs w:val="18"/>
              </w:rPr>
              <w:t>expected to read</w:t>
            </w:r>
            <w:r w:rsidRPr="002B791A">
              <w:rPr>
                <w:rFonts w:ascii="Arial" w:hAnsi="Arial" w:cs="Arial"/>
                <w:i/>
                <w:iCs/>
                <w:sz w:val="18"/>
                <w:szCs w:val="18"/>
              </w:rPr>
              <w:t xml:space="preserve"> </w:t>
            </w:r>
            <w:r>
              <w:rPr>
                <w:rFonts w:ascii="Arial" w:hAnsi="Arial" w:cs="Arial"/>
                <w:i/>
                <w:iCs/>
                <w:sz w:val="18"/>
                <w:szCs w:val="18"/>
              </w:rPr>
              <w:t>and</w:t>
            </w:r>
          </w:p>
          <w:p w:rsidR="002B791A" w:rsidRPr="002B791A" w:rsidRDefault="002B791A" w:rsidP="002B791A">
            <w:pPr>
              <w:pStyle w:val="TableParagraph"/>
              <w:kinsoku w:val="0"/>
              <w:overflowPunct w:val="0"/>
              <w:ind w:left="103" w:right="264"/>
              <w:rPr>
                <w:rFonts w:ascii="Arial" w:hAnsi="Arial" w:cs="Arial"/>
                <w:i/>
                <w:iCs/>
                <w:sz w:val="18"/>
                <w:szCs w:val="18"/>
              </w:rPr>
            </w:pPr>
            <w:r>
              <w:rPr>
                <w:rFonts w:ascii="Arial" w:hAnsi="Arial" w:cs="Arial"/>
                <w:i/>
                <w:iCs/>
                <w:sz w:val="18"/>
                <w:szCs w:val="18"/>
              </w:rPr>
              <w:t>interrogate the report</w:t>
            </w:r>
            <w:r w:rsidRPr="002B791A">
              <w:rPr>
                <w:rFonts w:ascii="Arial" w:hAnsi="Arial" w:cs="Arial"/>
                <w:i/>
                <w:iCs/>
                <w:sz w:val="18"/>
                <w:szCs w:val="18"/>
              </w:rPr>
              <w:t xml:space="preserve"> </w:t>
            </w:r>
            <w:r>
              <w:rPr>
                <w:rFonts w:ascii="Arial" w:hAnsi="Arial" w:cs="Arial"/>
                <w:i/>
                <w:iCs/>
                <w:sz w:val="18"/>
                <w:szCs w:val="18"/>
              </w:rPr>
              <w:t>to</w:t>
            </w:r>
          </w:p>
          <w:p w:rsidR="002B791A" w:rsidRPr="002B791A" w:rsidRDefault="002B791A" w:rsidP="002B791A">
            <w:pPr>
              <w:pStyle w:val="TableParagraph"/>
              <w:kinsoku w:val="0"/>
              <w:overflowPunct w:val="0"/>
              <w:ind w:left="103" w:right="264"/>
              <w:rPr>
                <w:rFonts w:ascii="Arial" w:hAnsi="Arial" w:cs="Arial"/>
                <w:i/>
                <w:iCs/>
                <w:sz w:val="18"/>
                <w:szCs w:val="18"/>
              </w:rPr>
            </w:pPr>
            <w:proofErr w:type="gramStart"/>
            <w:r>
              <w:rPr>
                <w:rFonts w:ascii="Arial" w:hAnsi="Arial" w:cs="Arial"/>
                <w:i/>
                <w:iCs/>
                <w:sz w:val="18"/>
                <w:szCs w:val="18"/>
              </w:rPr>
              <w:t>identify</w:t>
            </w:r>
            <w:proofErr w:type="gramEnd"/>
            <w:r>
              <w:rPr>
                <w:rFonts w:ascii="Arial" w:hAnsi="Arial" w:cs="Arial"/>
                <w:i/>
                <w:iCs/>
                <w:sz w:val="18"/>
                <w:szCs w:val="18"/>
              </w:rPr>
              <w:t xml:space="preserve"> deficiencies in</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system and act upon</w:t>
            </w:r>
            <w:r w:rsidRPr="002B791A">
              <w:rPr>
                <w:rFonts w:ascii="Arial" w:hAnsi="Arial" w:cs="Arial"/>
                <w:i/>
                <w:iCs/>
                <w:sz w:val="18"/>
                <w:szCs w:val="18"/>
              </w:rPr>
              <w:t xml:space="preserve"> </w:t>
            </w:r>
            <w:r>
              <w:rPr>
                <w:rFonts w:ascii="Arial" w:hAnsi="Arial" w:cs="Arial"/>
                <w:i/>
                <w:iCs/>
                <w:sz w:val="18"/>
                <w:szCs w:val="18"/>
              </w:rPr>
              <w:t>them.</w:t>
            </w:r>
            <w:r w:rsidRPr="002B791A">
              <w:rPr>
                <w:rFonts w:ascii="Arial" w:hAnsi="Arial" w:cs="Arial"/>
                <w:i/>
                <w:iCs/>
                <w:sz w:val="18"/>
                <w:szCs w:val="18"/>
              </w:rPr>
              <w:t xml:space="preserve"> </w:t>
            </w: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Required actions will</w:t>
            </w:r>
            <w:r w:rsidRPr="002B791A">
              <w:rPr>
                <w:rFonts w:ascii="Arial" w:hAnsi="Arial" w:cs="Arial"/>
                <w:i/>
                <w:iCs/>
                <w:sz w:val="18"/>
                <w:szCs w:val="18"/>
              </w:rPr>
              <w:t xml:space="preserve"> </w:t>
            </w:r>
            <w:r>
              <w:rPr>
                <w:rFonts w:ascii="Arial" w:hAnsi="Arial" w:cs="Arial"/>
                <w:i/>
                <w:iCs/>
                <w:sz w:val="18"/>
                <w:szCs w:val="18"/>
              </w:rPr>
              <w:t>be</w:t>
            </w:r>
            <w:r w:rsidRPr="002B791A">
              <w:rPr>
                <w:rFonts w:ascii="Arial" w:hAnsi="Arial" w:cs="Arial"/>
                <w:i/>
                <w:iCs/>
                <w:sz w:val="18"/>
                <w:szCs w:val="18"/>
              </w:rPr>
              <w:t xml:space="preserve"> </w:t>
            </w:r>
            <w:r>
              <w:rPr>
                <w:rFonts w:ascii="Arial" w:hAnsi="Arial" w:cs="Arial"/>
                <w:i/>
                <w:iCs/>
                <w:sz w:val="18"/>
                <w:szCs w:val="18"/>
              </w:rPr>
              <w:t>identified and completed in</w:t>
            </w:r>
            <w:r w:rsidRPr="002B791A">
              <w:rPr>
                <w:rFonts w:ascii="Arial" w:hAnsi="Arial" w:cs="Arial"/>
                <w:i/>
                <w:iCs/>
                <w:sz w:val="18"/>
                <w:szCs w:val="18"/>
              </w:rPr>
              <w:t xml:space="preserve"> </w:t>
            </w:r>
            <w:r>
              <w:rPr>
                <w:rFonts w:ascii="Arial" w:hAnsi="Arial" w:cs="Arial"/>
                <w:i/>
                <w:iCs/>
                <w:sz w:val="18"/>
                <w:szCs w:val="18"/>
              </w:rPr>
              <w:t>a specified</w:t>
            </w:r>
            <w:r w:rsidRPr="002B791A">
              <w:rPr>
                <w:rFonts w:ascii="Arial" w:hAnsi="Arial" w:cs="Arial"/>
                <w:i/>
                <w:iCs/>
                <w:sz w:val="18"/>
                <w:szCs w:val="18"/>
              </w:rPr>
              <w:t xml:space="preserve"> </w:t>
            </w:r>
            <w:r>
              <w:rPr>
                <w:rFonts w:ascii="Arial" w:hAnsi="Arial" w:cs="Arial"/>
                <w:i/>
                <w:iCs/>
                <w:sz w:val="18"/>
                <w:szCs w:val="18"/>
              </w:rPr>
              <w:t>timeframe.</w:t>
            </w:r>
          </w:p>
          <w:p w:rsid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Consider stating</w:t>
            </w:r>
            <w:r w:rsidRPr="002B791A">
              <w:rPr>
                <w:rFonts w:ascii="Arial" w:hAnsi="Arial" w:cs="Arial"/>
                <w:i/>
                <w:iCs/>
                <w:sz w:val="18"/>
                <w:szCs w:val="18"/>
              </w:rPr>
              <w:t xml:space="preserve"> </w:t>
            </w:r>
            <w:r>
              <w:rPr>
                <w:rFonts w:ascii="Arial" w:hAnsi="Arial" w:cs="Arial"/>
                <w:i/>
                <w:iCs/>
                <w:sz w:val="18"/>
                <w:szCs w:val="18"/>
              </w:rPr>
              <w:t>this</w:t>
            </w:r>
            <w:r w:rsidRPr="002B791A">
              <w:rPr>
                <w:rFonts w:ascii="Arial" w:hAnsi="Arial" w:cs="Arial"/>
                <w:i/>
                <w:iCs/>
                <w:sz w:val="18"/>
                <w:szCs w:val="18"/>
              </w:rPr>
              <w:t xml:space="preserve"> </w:t>
            </w:r>
            <w:r>
              <w:rPr>
                <w:rFonts w:ascii="Arial" w:hAnsi="Arial" w:cs="Arial"/>
                <w:i/>
                <w:iCs/>
                <w:sz w:val="18"/>
                <w:szCs w:val="18"/>
              </w:rPr>
              <w:t>responsibility in</w:t>
            </w:r>
            <w:r w:rsidRPr="002B791A">
              <w:rPr>
                <w:rFonts w:ascii="Arial" w:hAnsi="Arial" w:cs="Arial"/>
                <w:i/>
                <w:iCs/>
                <w:sz w:val="18"/>
                <w:szCs w:val="18"/>
              </w:rPr>
              <w:t xml:space="preserve"> </w:t>
            </w:r>
            <w:r>
              <w:rPr>
                <w:rFonts w:ascii="Arial" w:hAnsi="Arial" w:cs="Arial"/>
                <w:i/>
                <w:iCs/>
                <w:sz w:val="18"/>
                <w:szCs w:val="18"/>
              </w:rPr>
              <w:t>committee</w:t>
            </w:r>
            <w:r w:rsidRPr="002B791A">
              <w:rPr>
                <w:rFonts w:ascii="Arial" w:hAnsi="Arial" w:cs="Arial"/>
                <w:i/>
                <w:iCs/>
                <w:sz w:val="18"/>
                <w:szCs w:val="18"/>
              </w:rPr>
              <w:t xml:space="preserve"> </w:t>
            </w:r>
            <w:r>
              <w:rPr>
                <w:rFonts w:ascii="Arial" w:hAnsi="Arial" w:cs="Arial"/>
                <w:i/>
                <w:iCs/>
                <w:sz w:val="18"/>
                <w:szCs w:val="18"/>
              </w:rPr>
              <w:t>terms of</w:t>
            </w:r>
            <w:r w:rsidRPr="002B791A">
              <w:rPr>
                <w:rFonts w:ascii="Arial" w:hAnsi="Arial" w:cs="Arial"/>
                <w:i/>
                <w:iCs/>
                <w:sz w:val="18"/>
                <w:szCs w:val="18"/>
              </w:rPr>
              <w:t xml:space="preserve"> </w:t>
            </w:r>
            <w:r>
              <w:rPr>
                <w:rFonts w:ascii="Arial" w:hAnsi="Arial" w:cs="Arial"/>
                <w:i/>
                <w:iCs/>
                <w:sz w:val="18"/>
                <w:szCs w:val="18"/>
              </w:rPr>
              <w:t>reference.</w:t>
            </w:r>
          </w:p>
          <w:p w:rsidR="002B791A" w:rsidRDefault="002B791A" w:rsidP="002B791A">
            <w:pPr>
              <w:pStyle w:val="TableParagraph"/>
              <w:kinsoku w:val="0"/>
              <w:overflowPunct w:val="0"/>
              <w:ind w:left="103" w:right="346"/>
              <w:rPr>
                <w:rFonts w:ascii="Arial" w:hAnsi="Arial" w:cs="Arial"/>
                <w:i/>
                <w:iCs/>
                <w:sz w:val="18"/>
                <w:szCs w:val="18"/>
              </w:rPr>
            </w:pPr>
          </w:p>
          <w:p w:rsidR="002B791A" w:rsidRPr="002B791A" w:rsidRDefault="002B791A" w:rsidP="002B791A">
            <w:pPr>
              <w:pStyle w:val="TableParagraph"/>
              <w:kinsoku w:val="0"/>
              <w:overflowPunct w:val="0"/>
              <w:ind w:left="103" w:right="346"/>
              <w:rPr>
                <w:rFonts w:ascii="Arial" w:hAnsi="Arial" w:cs="Arial"/>
                <w:i/>
                <w:iCs/>
                <w:sz w:val="18"/>
                <w:szCs w:val="18"/>
              </w:rPr>
            </w:pPr>
            <w:r>
              <w:rPr>
                <w:rFonts w:ascii="Arial" w:hAnsi="Arial" w:cs="Arial"/>
                <w:i/>
                <w:iCs/>
                <w:sz w:val="18"/>
                <w:szCs w:val="18"/>
              </w:rPr>
              <w:t>These will be discussed at Divisional governance board</w:t>
            </w:r>
          </w:p>
        </w:tc>
        <w:tc>
          <w:tcPr>
            <w:tcW w:w="2520" w:type="dxa"/>
            <w:tcBorders>
              <w:top w:val="single" w:sz="4" w:space="0" w:color="000000"/>
              <w:left w:val="single" w:sz="4" w:space="0" w:color="000000"/>
              <w:bottom w:val="single" w:sz="4" w:space="0" w:color="000000"/>
              <w:right w:val="single" w:sz="4" w:space="0" w:color="000000"/>
            </w:tcBorders>
          </w:tcPr>
          <w:p w:rsidR="002B791A" w:rsidRPr="002B791A" w:rsidRDefault="002B791A" w:rsidP="002B791A">
            <w:pPr>
              <w:pStyle w:val="TableParagraph"/>
              <w:kinsoku w:val="0"/>
              <w:overflowPunct w:val="0"/>
              <w:ind w:left="103" w:right="234"/>
              <w:rPr>
                <w:rFonts w:ascii="Arial" w:hAnsi="Arial" w:cs="Arial"/>
                <w:i/>
                <w:iCs/>
                <w:sz w:val="18"/>
                <w:szCs w:val="18"/>
              </w:rPr>
            </w:pPr>
            <w:r>
              <w:rPr>
                <w:rFonts w:ascii="Arial" w:hAnsi="Arial" w:cs="Arial"/>
                <w:i/>
                <w:iCs/>
                <w:sz w:val="18"/>
                <w:szCs w:val="18"/>
              </w:rPr>
              <w:t>Required changes</w:t>
            </w:r>
            <w:r w:rsidRPr="002B791A">
              <w:rPr>
                <w:rFonts w:ascii="Arial" w:hAnsi="Arial" w:cs="Arial"/>
                <w:i/>
                <w:iCs/>
                <w:sz w:val="18"/>
                <w:szCs w:val="18"/>
              </w:rPr>
              <w:t xml:space="preserve"> </w:t>
            </w:r>
            <w:r>
              <w:rPr>
                <w:rFonts w:ascii="Arial" w:hAnsi="Arial" w:cs="Arial"/>
                <w:i/>
                <w:iCs/>
                <w:sz w:val="18"/>
                <w:szCs w:val="18"/>
              </w:rPr>
              <w:t>to practice will be identified</w:t>
            </w:r>
            <w:r w:rsidRPr="002B791A">
              <w:rPr>
                <w:rFonts w:ascii="Arial" w:hAnsi="Arial" w:cs="Arial"/>
                <w:i/>
                <w:iCs/>
                <w:sz w:val="18"/>
                <w:szCs w:val="18"/>
              </w:rPr>
              <w:t xml:space="preserve"> </w:t>
            </w:r>
            <w:r>
              <w:rPr>
                <w:rFonts w:ascii="Arial" w:hAnsi="Arial" w:cs="Arial"/>
                <w:i/>
                <w:iCs/>
                <w:sz w:val="18"/>
                <w:szCs w:val="18"/>
              </w:rPr>
              <w:t>and</w:t>
            </w:r>
            <w:r w:rsidRPr="002B791A">
              <w:rPr>
                <w:rFonts w:ascii="Arial" w:hAnsi="Arial" w:cs="Arial"/>
                <w:i/>
                <w:iCs/>
                <w:sz w:val="18"/>
                <w:szCs w:val="18"/>
              </w:rPr>
              <w:t xml:space="preserve"> </w:t>
            </w:r>
            <w:proofErr w:type="spellStart"/>
            <w:r>
              <w:rPr>
                <w:rFonts w:ascii="Arial" w:hAnsi="Arial" w:cs="Arial"/>
                <w:i/>
                <w:iCs/>
                <w:sz w:val="18"/>
                <w:szCs w:val="18"/>
              </w:rPr>
              <w:t>actioned</w:t>
            </w:r>
            <w:proofErr w:type="spellEnd"/>
            <w:r>
              <w:rPr>
                <w:rFonts w:ascii="Arial" w:hAnsi="Arial" w:cs="Arial"/>
                <w:i/>
                <w:iCs/>
                <w:sz w:val="18"/>
                <w:szCs w:val="18"/>
              </w:rPr>
              <w:t xml:space="preserve"> within a</w:t>
            </w:r>
            <w:r w:rsidRPr="002B791A">
              <w:rPr>
                <w:rFonts w:ascii="Arial" w:hAnsi="Arial" w:cs="Arial"/>
                <w:i/>
                <w:iCs/>
                <w:sz w:val="18"/>
                <w:szCs w:val="18"/>
              </w:rPr>
              <w:t xml:space="preserve"> </w:t>
            </w:r>
            <w:r>
              <w:rPr>
                <w:rFonts w:ascii="Arial" w:hAnsi="Arial" w:cs="Arial"/>
                <w:i/>
                <w:iCs/>
                <w:sz w:val="18"/>
                <w:szCs w:val="18"/>
              </w:rPr>
              <w:t>specific</w:t>
            </w:r>
            <w:r w:rsidRPr="002B791A">
              <w:rPr>
                <w:rFonts w:ascii="Arial" w:hAnsi="Arial" w:cs="Arial"/>
                <w:i/>
                <w:iCs/>
                <w:sz w:val="18"/>
                <w:szCs w:val="18"/>
              </w:rPr>
              <w:t xml:space="preserve"> </w:t>
            </w:r>
            <w:r>
              <w:rPr>
                <w:rFonts w:ascii="Arial" w:hAnsi="Arial" w:cs="Arial"/>
                <w:i/>
                <w:iCs/>
                <w:sz w:val="18"/>
                <w:szCs w:val="18"/>
              </w:rPr>
              <w:t>timeframe. A lead member</w:t>
            </w:r>
            <w:r w:rsidRPr="002B791A">
              <w:rPr>
                <w:rFonts w:ascii="Arial" w:hAnsi="Arial" w:cs="Arial"/>
                <w:i/>
                <w:iCs/>
                <w:sz w:val="18"/>
                <w:szCs w:val="18"/>
              </w:rPr>
              <w:t xml:space="preserve"> </w:t>
            </w:r>
            <w:r>
              <w:rPr>
                <w:rFonts w:ascii="Arial" w:hAnsi="Arial" w:cs="Arial"/>
                <w:i/>
                <w:iCs/>
                <w:sz w:val="18"/>
                <w:szCs w:val="18"/>
              </w:rPr>
              <w:t>of the team will be identified</w:t>
            </w:r>
            <w:r w:rsidRPr="002B791A">
              <w:rPr>
                <w:rFonts w:ascii="Arial" w:hAnsi="Arial" w:cs="Arial"/>
                <w:i/>
                <w:iCs/>
                <w:sz w:val="18"/>
                <w:szCs w:val="18"/>
              </w:rPr>
              <w:t xml:space="preserve"> </w:t>
            </w:r>
            <w:r>
              <w:rPr>
                <w:rFonts w:ascii="Arial" w:hAnsi="Arial" w:cs="Arial"/>
                <w:i/>
                <w:iCs/>
                <w:sz w:val="18"/>
                <w:szCs w:val="18"/>
              </w:rPr>
              <w:t>to take each change</w:t>
            </w:r>
            <w:r w:rsidRPr="002B791A">
              <w:rPr>
                <w:rFonts w:ascii="Arial" w:hAnsi="Arial" w:cs="Arial"/>
                <w:i/>
                <w:iCs/>
                <w:sz w:val="18"/>
                <w:szCs w:val="18"/>
              </w:rPr>
              <w:t xml:space="preserve"> </w:t>
            </w:r>
            <w:r>
              <w:rPr>
                <w:rFonts w:ascii="Arial" w:hAnsi="Arial" w:cs="Arial"/>
                <w:i/>
                <w:iCs/>
                <w:sz w:val="18"/>
                <w:szCs w:val="18"/>
              </w:rPr>
              <w:t>forward</w:t>
            </w:r>
            <w:r w:rsidRPr="002B791A">
              <w:rPr>
                <w:rFonts w:ascii="Arial" w:hAnsi="Arial" w:cs="Arial"/>
                <w:i/>
                <w:iCs/>
                <w:sz w:val="18"/>
                <w:szCs w:val="18"/>
              </w:rPr>
              <w:t xml:space="preserve"> </w:t>
            </w:r>
            <w:r>
              <w:rPr>
                <w:rFonts w:ascii="Arial" w:hAnsi="Arial" w:cs="Arial"/>
                <w:i/>
                <w:iCs/>
                <w:sz w:val="18"/>
                <w:szCs w:val="18"/>
              </w:rPr>
              <w:t>where appropriate.</w:t>
            </w:r>
            <w:r w:rsidRPr="002B791A">
              <w:rPr>
                <w:rFonts w:ascii="Arial" w:hAnsi="Arial" w:cs="Arial"/>
                <w:i/>
                <w:iCs/>
                <w:sz w:val="18"/>
                <w:szCs w:val="18"/>
              </w:rPr>
              <w:t xml:space="preserve"> </w:t>
            </w:r>
            <w:r>
              <w:rPr>
                <w:rFonts w:ascii="Arial" w:hAnsi="Arial" w:cs="Arial"/>
                <w:i/>
                <w:iCs/>
                <w:sz w:val="18"/>
                <w:szCs w:val="18"/>
              </w:rPr>
              <w:t>Lessons</w:t>
            </w:r>
            <w:r w:rsidRPr="002B791A">
              <w:rPr>
                <w:rFonts w:ascii="Arial" w:hAnsi="Arial" w:cs="Arial"/>
                <w:i/>
                <w:iCs/>
                <w:sz w:val="18"/>
                <w:szCs w:val="18"/>
              </w:rPr>
              <w:t xml:space="preserve"> </w:t>
            </w:r>
            <w:r>
              <w:rPr>
                <w:rFonts w:ascii="Arial" w:hAnsi="Arial" w:cs="Arial"/>
                <w:i/>
                <w:iCs/>
                <w:sz w:val="18"/>
                <w:szCs w:val="18"/>
              </w:rPr>
              <w:t>will be shared with all</w:t>
            </w:r>
            <w:r w:rsidRPr="002B791A">
              <w:rPr>
                <w:rFonts w:ascii="Arial" w:hAnsi="Arial" w:cs="Arial"/>
                <w:i/>
                <w:iCs/>
                <w:sz w:val="18"/>
                <w:szCs w:val="18"/>
              </w:rPr>
              <w:t xml:space="preserve"> </w:t>
            </w:r>
            <w:r>
              <w:rPr>
                <w:rFonts w:ascii="Arial" w:hAnsi="Arial" w:cs="Arial"/>
                <w:i/>
                <w:iCs/>
                <w:sz w:val="18"/>
                <w:szCs w:val="18"/>
              </w:rPr>
              <w:t>the</w:t>
            </w:r>
            <w:r w:rsidRPr="002B791A">
              <w:rPr>
                <w:rFonts w:ascii="Arial" w:hAnsi="Arial" w:cs="Arial"/>
                <w:i/>
                <w:iCs/>
                <w:sz w:val="18"/>
                <w:szCs w:val="18"/>
              </w:rPr>
              <w:t xml:space="preserve"> </w:t>
            </w:r>
            <w:r>
              <w:rPr>
                <w:rFonts w:ascii="Arial" w:hAnsi="Arial" w:cs="Arial"/>
                <w:i/>
                <w:iCs/>
                <w:sz w:val="18"/>
                <w:szCs w:val="18"/>
              </w:rPr>
              <w:t>relevant</w:t>
            </w:r>
            <w:r w:rsidRPr="002B791A">
              <w:rPr>
                <w:rFonts w:ascii="Arial" w:hAnsi="Arial" w:cs="Arial"/>
                <w:i/>
                <w:iCs/>
                <w:sz w:val="18"/>
                <w:szCs w:val="18"/>
              </w:rPr>
              <w:t xml:space="preserve"> </w:t>
            </w:r>
            <w:r>
              <w:rPr>
                <w:rFonts w:ascii="Arial" w:hAnsi="Arial" w:cs="Arial"/>
                <w:i/>
                <w:iCs/>
                <w:sz w:val="18"/>
                <w:szCs w:val="18"/>
              </w:rPr>
              <w:t>stakeholders.</w:t>
            </w:r>
          </w:p>
        </w:tc>
      </w:tr>
    </w:tbl>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ind w:left="0"/>
        <w:rPr>
          <w:i/>
          <w:iCs/>
          <w:sz w:val="20"/>
          <w:szCs w:val="20"/>
        </w:rPr>
      </w:pPr>
    </w:p>
    <w:p w:rsidR="00FC5932" w:rsidRDefault="00FC5932" w:rsidP="00FC5932">
      <w:pPr>
        <w:pStyle w:val="BodyText"/>
        <w:kinsoku w:val="0"/>
        <w:overflowPunct w:val="0"/>
        <w:spacing w:before="3"/>
        <w:ind w:left="0"/>
        <w:rPr>
          <w:i/>
          <w:iCs/>
          <w:sz w:val="20"/>
          <w:szCs w:val="20"/>
        </w:rPr>
      </w:pPr>
    </w:p>
    <w:p w:rsidR="00FC5932" w:rsidRDefault="00FC5932" w:rsidP="00FC5932">
      <w:pPr>
        <w:pStyle w:val="BodyText"/>
        <w:kinsoku w:val="0"/>
        <w:overflowPunct w:val="0"/>
        <w:spacing w:before="77"/>
        <w:ind w:left="0" w:right="920"/>
        <w:jc w:val="right"/>
        <w:rPr>
          <w:sz w:val="18"/>
          <w:szCs w:val="18"/>
        </w:rPr>
        <w:sectPr w:rsidR="00FC5932">
          <w:footerReference w:type="default" r:id="rId13"/>
          <w:pgSz w:w="16840" w:h="11900" w:orient="landscape"/>
          <w:pgMar w:top="1100" w:right="880" w:bottom="280" w:left="960" w:header="0" w:footer="0" w:gutter="0"/>
          <w:cols w:space="720" w:equalWidth="0">
            <w:col w:w="15000"/>
          </w:cols>
          <w:noEndnote/>
        </w:sectPr>
      </w:pPr>
    </w:p>
    <w:p w:rsidR="00FC5932" w:rsidRDefault="00FC5932" w:rsidP="00FC5932">
      <w:pPr>
        <w:pStyle w:val="Heading2"/>
        <w:numPr>
          <w:ilvl w:val="0"/>
          <w:numId w:val="20"/>
        </w:numPr>
        <w:tabs>
          <w:tab w:val="left" w:pos="640"/>
        </w:tabs>
        <w:kinsoku w:val="0"/>
        <w:overflowPunct w:val="0"/>
        <w:spacing w:before="58"/>
        <w:ind w:left="639" w:hanging="539"/>
        <w:rPr>
          <w:b w:val="0"/>
          <w:bCs w:val="0"/>
        </w:rPr>
      </w:pPr>
      <w:r>
        <w:lastRenderedPageBreak/>
        <w:t>Associated documentation</w:t>
      </w:r>
    </w:p>
    <w:p w:rsidR="00317E89" w:rsidRDefault="00317E89" w:rsidP="00FC5932">
      <w:pPr>
        <w:pStyle w:val="BodyText"/>
        <w:kinsoku w:val="0"/>
        <w:overflowPunct w:val="0"/>
      </w:pPr>
    </w:p>
    <w:p w:rsidR="00FC5932" w:rsidRDefault="00317E89" w:rsidP="00FC5932">
      <w:pPr>
        <w:pStyle w:val="BodyText"/>
        <w:kinsoku w:val="0"/>
        <w:overflowPunct w:val="0"/>
      </w:pPr>
      <w:r>
        <w:t xml:space="preserve">Incentive </w:t>
      </w:r>
      <w:proofErr w:type="spellStart"/>
      <w:r>
        <w:t>Spirometry</w:t>
      </w:r>
      <w:proofErr w:type="spellEnd"/>
      <w:r>
        <w:t xml:space="preserve"> guideline for adults admitted with sickle cell crisis at risk of acute chest syndrome</w:t>
      </w:r>
    </w:p>
    <w:p w:rsidR="00FC5932" w:rsidRDefault="00FC5932" w:rsidP="00FC5932">
      <w:pPr>
        <w:pStyle w:val="BodyText"/>
        <w:kinsoku w:val="0"/>
        <w:overflowPunct w:val="0"/>
        <w:ind w:left="0"/>
      </w:pPr>
    </w:p>
    <w:p w:rsidR="00FC5932" w:rsidRDefault="00FC5932" w:rsidP="00FC5932">
      <w:pPr>
        <w:pStyle w:val="BodyText"/>
        <w:kinsoku w:val="0"/>
        <w:overflowPunct w:val="0"/>
        <w:spacing w:before="11"/>
        <w:ind w:left="0"/>
        <w:rPr>
          <w:sz w:val="21"/>
          <w:szCs w:val="21"/>
        </w:rPr>
      </w:pPr>
    </w:p>
    <w:p w:rsidR="00FC5932" w:rsidRDefault="00FC5932" w:rsidP="00FC5932">
      <w:pPr>
        <w:pStyle w:val="Heading2"/>
        <w:numPr>
          <w:ilvl w:val="0"/>
          <w:numId w:val="20"/>
        </w:numPr>
        <w:tabs>
          <w:tab w:val="left" w:pos="636"/>
        </w:tabs>
        <w:kinsoku w:val="0"/>
        <w:overflowPunct w:val="0"/>
        <w:spacing w:line="276" w:lineRule="exact"/>
        <w:ind w:left="635"/>
        <w:rPr>
          <w:b w:val="0"/>
          <w:bCs w:val="0"/>
        </w:rPr>
      </w:pPr>
      <w:r>
        <w:t>References</w:t>
      </w:r>
    </w:p>
    <w:p w:rsidR="0022350C" w:rsidRDefault="0022350C" w:rsidP="001C49BB">
      <w:pPr>
        <w:ind w:left="635"/>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 xml:space="preserve">West Midlands Review Service – Quality Standards: Health Services for People with Haemoglobin Disorders (2018/19) </w:t>
      </w:r>
    </w:p>
    <w:p w:rsidR="008004AB" w:rsidRPr="009679C6" w:rsidRDefault="008004AB" w:rsidP="008004AB">
      <w:pPr>
        <w:pStyle w:val="Default"/>
        <w:ind w:left="720"/>
        <w:rPr>
          <w:rFonts w:ascii="Arial" w:hAnsi="Arial" w:cs="Arial"/>
          <w:sz w:val="22"/>
          <w:szCs w:val="22"/>
        </w:rPr>
      </w:pPr>
    </w:p>
    <w:p w:rsidR="008004AB" w:rsidRDefault="008004AB" w:rsidP="008004AB">
      <w:pPr>
        <w:pStyle w:val="Default"/>
        <w:numPr>
          <w:ilvl w:val="0"/>
          <w:numId w:val="14"/>
        </w:numPr>
        <w:rPr>
          <w:rFonts w:ascii="Arial" w:hAnsi="Arial" w:cs="Arial"/>
          <w:sz w:val="22"/>
          <w:szCs w:val="22"/>
        </w:rPr>
      </w:pPr>
      <w:r w:rsidRPr="009679C6">
        <w:rPr>
          <w:rFonts w:ascii="Arial" w:hAnsi="Arial" w:cs="Arial"/>
          <w:sz w:val="22"/>
          <w:szCs w:val="22"/>
        </w:rPr>
        <w:t>Standards for the Clinical Care of</w:t>
      </w:r>
      <w:r w:rsidR="0087797F">
        <w:rPr>
          <w:rFonts w:ascii="Arial" w:hAnsi="Arial" w:cs="Arial"/>
          <w:sz w:val="22"/>
          <w:szCs w:val="22"/>
        </w:rPr>
        <w:t xml:space="preserve"> </w:t>
      </w:r>
      <w:r w:rsidRPr="009679C6">
        <w:rPr>
          <w:rFonts w:ascii="Arial" w:hAnsi="Arial" w:cs="Arial"/>
          <w:sz w:val="22"/>
          <w:szCs w:val="22"/>
        </w:rPr>
        <w:t xml:space="preserve">Adults with Sickle Cell Disease in the UK 2018 (Sickle Cell Society) </w:t>
      </w:r>
      <w:hyperlink r:id="rId14" w:history="1">
        <w:r w:rsidRPr="009679C6">
          <w:rPr>
            <w:rStyle w:val="Hyperlink"/>
            <w:rFonts w:ascii="Arial" w:hAnsi="Arial" w:cs="Arial"/>
            <w:sz w:val="22"/>
            <w:szCs w:val="22"/>
          </w:rPr>
          <w:t>https://www.sicklecellsociety.org/wp-content/uploads/2018/04/Web-version-FINAL-SCS-Standards-GSM-6.4.18.pdf</w:t>
        </w:r>
      </w:hyperlink>
      <w:r w:rsidRPr="009679C6">
        <w:rPr>
          <w:rFonts w:ascii="Arial" w:hAnsi="Arial" w:cs="Arial"/>
          <w:sz w:val="22"/>
          <w:szCs w:val="22"/>
        </w:rPr>
        <w:t xml:space="preserve"> </w:t>
      </w:r>
    </w:p>
    <w:p w:rsidR="008004AB" w:rsidRPr="009679C6" w:rsidRDefault="008004AB" w:rsidP="008004AB">
      <w:pPr>
        <w:pStyle w:val="Default"/>
        <w:rPr>
          <w:rFonts w:ascii="Arial" w:hAnsi="Arial" w:cs="Arial"/>
          <w:sz w:val="22"/>
          <w:szCs w:val="22"/>
        </w:rPr>
      </w:pPr>
    </w:p>
    <w:p w:rsidR="008004AB" w:rsidRPr="00FE5F60" w:rsidRDefault="008004AB" w:rsidP="008004AB">
      <w:pPr>
        <w:pStyle w:val="ListParagraph"/>
        <w:numPr>
          <w:ilvl w:val="0"/>
          <w:numId w:val="14"/>
        </w:numPr>
        <w:rPr>
          <w:rFonts w:ascii="Arial" w:hAnsi="Arial" w:cs="Arial"/>
          <w:sz w:val="22"/>
          <w:szCs w:val="22"/>
        </w:rPr>
      </w:pPr>
      <w:r w:rsidRPr="009679C6">
        <w:rPr>
          <w:rFonts w:ascii="Arial" w:hAnsi="Arial" w:cs="Arial"/>
          <w:sz w:val="22"/>
          <w:szCs w:val="22"/>
        </w:rPr>
        <w:t xml:space="preserve">British Society Haematology : guidelines </w:t>
      </w:r>
      <w:r w:rsidRPr="009679C6">
        <w:rPr>
          <w:rFonts w:ascii="Arial" w:hAnsi="Arial" w:cs="Arial"/>
          <w:color w:val="000000"/>
          <w:sz w:val="22"/>
          <w:szCs w:val="22"/>
        </w:rPr>
        <w:t xml:space="preserve">Red Cell Transfusion in Sickle Cell Disease Part I and Part II (7.11.17 and 18.11.18) </w:t>
      </w:r>
      <w:hyperlink r:id="rId15" w:history="1">
        <w:r w:rsidRPr="009679C6">
          <w:rPr>
            <w:rStyle w:val="Hyperlink"/>
            <w:rFonts w:ascii="Arial" w:hAnsi="Arial" w:cs="Arial"/>
            <w:sz w:val="22"/>
            <w:szCs w:val="22"/>
          </w:rPr>
          <w:t>https://b-s-h.org.uk/guidelines/guidelines/red-cell-transfusion-in-sickle-cell-disease-part-l/</w:t>
        </w:r>
      </w:hyperlink>
      <w:r w:rsidRPr="009679C6">
        <w:rPr>
          <w:rFonts w:ascii="Arial" w:hAnsi="Arial" w:cs="Arial"/>
          <w:color w:val="000000"/>
          <w:sz w:val="22"/>
          <w:szCs w:val="22"/>
        </w:rPr>
        <w:t xml:space="preserve"> </w:t>
      </w:r>
    </w:p>
    <w:p w:rsidR="008004AB" w:rsidRPr="009679C6" w:rsidRDefault="008004AB" w:rsidP="008004AB">
      <w:pPr>
        <w:pStyle w:val="ListParagraph"/>
        <w:ind w:left="720"/>
        <w:rPr>
          <w:rFonts w:ascii="Arial" w:hAnsi="Arial" w:cs="Arial"/>
          <w:sz w:val="22"/>
          <w:szCs w:val="22"/>
        </w:rPr>
      </w:pPr>
    </w:p>
    <w:p w:rsidR="00511E77" w:rsidRPr="00511E77" w:rsidRDefault="00511E77" w:rsidP="00511E77">
      <w:pPr>
        <w:widowControl/>
        <w:autoSpaceDE/>
        <w:autoSpaceDN/>
        <w:adjustRightInd/>
        <w:rPr>
          <w:rFonts w:ascii="Calibri" w:eastAsia="Times New Roman" w:hAnsi="Calibri" w:cs="Arial"/>
          <w:sz w:val="22"/>
          <w:szCs w:val="22"/>
        </w:rPr>
      </w:pPr>
      <w:proofErr w:type="spellStart"/>
      <w:r w:rsidRPr="00511E77">
        <w:rPr>
          <w:rFonts w:ascii="Calibri" w:eastAsia="Times New Roman" w:hAnsi="Calibri" w:cs="Arial"/>
          <w:sz w:val="22"/>
          <w:szCs w:val="22"/>
        </w:rPr>
        <w:t>Cullis</w:t>
      </w:r>
      <w:proofErr w:type="spellEnd"/>
      <w:r w:rsidRPr="00511E77">
        <w:rPr>
          <w:rFonts w:ascii="Calibri" w:eastAsia="Times New Roman" w:hAnsi="Calibri" w:cs="Arial"/>
          <w:sz w:val="22"/>
          <w:szCs w:val="22"/>
        </w:rPr>
        <w:t xml:space="preserve"> JO, Win N, Dudley JM, Kaye T. Post-transfusion </w:t>
      </w:r>
      <w:proofErr w:type="spellStart"/>
      <w:r w:rsidRPr="00511E77">
        <w:rPr>
          <w:rFonts w:ascii="Calibri" w:eastAsia="Times New Roman" w:hAnsi="Calibri" w:cs="Arial"/>
          <w:sz w:val="22"/>
          <w:szCs w:val="22"/>
        </w:rPr>
        <w:t>hyperhaemolysis</w:t>
      </w:r>
      <w:proofErr w:type="spellEnd"/>
      <w:r w:rsidRPr="00511E77">
        <w:rPr>
          <w:rFonts w:ascii="Calibri" w:eastAsia="Times New Roman" w:hAnsi="Calibri" w:cs="Arial"/>
          <w:sz w:val="22"/>
          <w:szCs w:val="22"/>
        </w:rPr>
        <w:t xml:space="preserve"> in a patient with Sickle Cell Disease: Use of Steroids and Intravenous Immunoglobulin to prevent further red cell destruction. (1995). </w:t>
      </w:r>
      <w:proofErr w:type="spellStart"/>
      <w:r w:rsidRPr="00511E77">
        <w:rPr>
          <w:rFonts w:ascii="Calibri" w:eastAsia="Times New Roman" w:hAnsi="Calibri" w:cs="Arial"/>
          <w:sz w:val="22"/>
          <w:szCs w:val="22"/>
        </w:rPr>
        <w:t>Vox</w:t>
      </w:r>
      <w:proofErr w:type="spellEnd"/>
      <w:r w:rsidRPr="00511E77">
        <w:rPr>
          <w:rFonts w:ascii="Calibri" w:eastAsia="Times New Roman" w:hAnsi="Calibri" w:cs="Arial"/>
          <w:sz w:val="22"/>
          <w:szCs w:val="22"/>
        </w:rPr>
        <w:t xml:space="preserve"> Sang. 69; 355-357</w:t>
      </w:r>
    </w:p>
    <w:p w:rsidR="00511E77" w:rsidRPr="00511E77" w:rsidRDefault="00511E77" w:rsidP="00511E77">
      <w:pPr>
        <w:widowControl/>
        <w:autoSpaceDE/>
        <w:autoSpaceDN/>
        <w:adjustRightInd/>
        <w:rPr>
          <w:rFonts w:ascii="Calibri" w:eastAsia="Times New Roman" w:hAnsi="Calibri" w:cs="Arial"/>
          <w:sz w:val="22"/>
          <w:szCs w:val="22"/>
        </w:rPr>
      </w:pPr>
    </w:p>
    <w:p w:rsidR="00511E77" w:rsidRPr="00511E77" w:rsidRDefault="00511E77" w:rsidP="00511E77">
      <w:pPr>
        <w:widowControl/>
        <w:autoSpaceDE/>
        <w:autoSpaceDN/>
        <w:adjustRightInd/>
        <w:rPr>
          <w:rFonts w:ascii="Calibri" w:eastAsia="Times New Roman" w:hAnsi="Calibri" w:cs="Arial"/>
          <w:sz w:val="22"/>
          <w:szCs w:val="22"/>
        </w:rPr>
      </w:pPr>
      <w:proofErr w:type="spellStart"/>
      <w:r w:rsidRPr="00511E77">
        <w:rPr>
          <w:rFonts w:ascii="Calibri" w:eastAsia="Times New Roman" w:hAnsi="Calibri" w:cs="Arial"/>
          <w:sz w:val="22"/>
          <w:szCs w:val="22"/>
        </w:rPr>
        <w:t>Talano</w:t>
      </w:r>
      <w:proofErr w:type="spellEnd"/>
      <w:r w:rsidRPr="00511E77">
        <w:rPr>
          <w:rFonts w:ascii="Calibri" w:eastAsia="Times New Roman" w:hAnsi="Calibri" w:cs="Arial"/>
          <w:sz w:val="22"/>
          <w:szCs w:val="22"/>
        </w:rPr>
        <w:t xml:space="preserve"> JM, </w:t>
      </w:r>
      <w:proofErr w:type="spellStart"/>
      <w:r w:rsidRPr="00511E77">
        <w:rPr>
          <w:rFonts w:ascii="Calibri" w:eastAsia="Times New Roman" w:hAnsi="Calibri" w:cs="Arial"/>
          <w:sz w:val="22"/>
          <w:szCs w:val="22"/>
        </w:rPr>
        <w:t>Hillery</w:t>
      </w:r>
      <w:proofErr w:type="spellEnd"/>
      <w:r w:rsidRPr="00511E77">
        <w:rPr>
          <w:rFonts w:ascii="Calibri" w:eastAsia="Times New Roman" w:hAnsi="Calibri" w:cs="Arial"/>
          <w:sz w:val="22"/>
          <w:szCs w:val="22"/>
        </w:rPr>
        <w:t xml:space="preserve"> CA, </w:t>
      </w:r>
      <w:proofErr w:type="spellStart"/>
      <w:r w:rsidRPr="00511E77">
        <w:rPr>
          <w:rFonts w:ascii="Calibri" w:eastAsia="Times New Roman" w:hAnsi="Calibri" w:cs="Arial"/>
          <w:sz w:val="22"/>
          <w:szCs w:val="22"/>
        </w:rPr>
        <w:t>Gottschall</w:t>
      </w:r>
      <w:proofErr w:type="spellEnd"/>
      <w:r w:rsidRPr="00511E77">
        <w:rPr>
          <w:rFonts w:ascii="Calibri" w:eastAsia="Times New Roman" w:hAnsi="Calibri" w:cs="Arial"/>
          <w:sz w:val="22"/>
          <w:szCs w:val="22"/>
        </w:rPr>
        <w:t xml:space="preserve"> JL, </w:t>
      </w:r>
      <w:proofErr w:type="spellStart"/>
      <w:r w:rsidRPr="00511E77">
        <w:rPr>
          <w:rFonts w:ascii="Calibri" w:eastAsia="Times New Roman" w:hAnsi="Calibri" w:cs="Arial"/>
          <w:sz w:val="22"/>
          <w:szCs w:val="22"/>
        </w:rPr>
        <w:t>Baylerian</w:t>
      </w:r>
      <w:proofErr w:type="spellEnd"/>
      <w:r w:rsidRPr="00511E77">
        <w:rPr>
          <w:rFonts w:ascii="Calibri" w:eastAsia="Times New Roman" w:hAnsi="Calibri" w:cs="Arial"/>
          <w:sz w:val="22"/>
          <w:szCs w:val="22"/>
        </w:rPr>
        <w:t xml:space="preserve"> DM, Scott JP. </w:t>
      </w:r>
      <w:proofErr w:type="gramStart"/>
      <w:r w:rsidRPr="00511E77">
        <w:rPr>
          <w:rFonts w:ascii="Calibri" w:eastAsia="Times New Roman" w:hAnsi="Calibri" w:cs="Arial"/>
          <w:sz w:val="22"/>
          <w:szCs w:val="22"/>
        </w:rPr>
        <w:t>Delayed haemolytic Transfusion Reaction/</w:t>
      </w:r>
      <w:proofErr w:type="spellStart"/>
      <w:r w:rsidRPr="00511E77">
        <w:rPr>
          <w:rFonts w:ascii="Calibri" w:eastAsia="Times New Roman" w:hAnsi="Calibri" w:cs="Arial"/>
          <w:sz w:val="22"/>
          <w:szCs w:val="22"/>
        </w:rPr>
        <w:t>Hyperhemolysis</w:t>
      </w:r>
      <w:proofErr w:type="spellEnd"/>
      <w:r w:rsidRPr="00511E77">
        <w:rPr>
          <w:rFonts w:ascii="Calibri" w:eastAsia="Times New Roman" w:hAnsi="Calibri" w:cs="Arial"/>
          <w:sz w:val="22"/>
          <w:szCs w:val="22"/>
        </w:rPr>
        <w:t xml:space="preserve"> Syndrome in Children with Sickle Cell Disease.</w:t>
      </w:r>
      <w:proofErr w:type="gramEnd"/>
      <w:r w:rsidRPr="00511E77">
        <w:rPr>
          <w:rFonts w:ascii="Calibri" w:eastAsia="Times New Roman" w:hAnsi="Calibri" w:cs="Arial"/>
          <w:sz w:val="22"/>
          <w:szCs w:val="22"/>
        </w:rPr>
        <w:t xml:space="preserve"> (2003) </w:t>
      </w:r>
      <w:proofErr w:type="spellStart"/>
      <w:r w:rsidRPr="00511E77">
        <w:rPr>
          <w:rFonts w:ascii="Calibri" w:eastAsia="Times New Roman" w:hAnsi="Calibri" w:cs="Arial"/>
          <w:sz w:val="22"/>
          <w:szCs w:val="22"/>
        </w:rPr>
        <w:t>Pediatrics</w:t>
      </w:r>
      <w:proofErr w:type="spellEnd"/>
      <w:r w:rsidRPr="00511E77">
        <w:rPr>
          <w:rFonts w:ascii="Calibri" w:eastAsia="Times New Roman" w:hAnsi="Calibri" w:cs="Arial"/>
          <w:sz w:val="22"/>
          <w:szCs w:val="22"/>
        </w:rPr>
        <w:t>; 111; 661-665</w:t>
      </w:r>
    </w:p>
    <w:p w:rsidR="00511E77" w:rsidRPr="00511E77" w:rsidRDefault="00511E77" w:rsidP="00511E77">
      <w:pPr>
        <w:widowControl/>
        <w:autoSpaceDE/>
        <w:autoSpaceDN/>
        <w:adjustRightInd/>
        <w:rPr>
          <w:rFonts w:ascii="Calibri" w:eastAsia="Times New Roman" w:hAnsi="Calibri" w:cs="Arial"/>
          <w:sz w:val="22"/>
          <w:szCs w:val="22"/>
        </w:rPr>
      </w:pPr>
    </w:p>
    <w:p w:rsidR="00511E77" w:rsidRPr="00511E77" w:rsidRDefault="00511E77" w:rsidP="00511E77">
      <w:pPr>
        <w:widowControl/>
        <w:autoSpaceDE/>
        <w:autoSpaceDN/>
        <w:adjustRightInd/>
        <w:rPr>
          <w:rFonts w:ascii="Calibri" w:eastAsia="Times New Roman" w:hAnsi="Calibri" w:cs="Arial"/>
          <w:sz w:val="22"/>
          <w:szCs w:val="22"/>
        </w:rPr>
      </w:pPr>
      <w:r w:rsidRPr="00511E77">
        <w:rPr>
          <w:rFonts w:ascii="Calibri" w:eastAsia="Times New Roman" w:hAnsi="Calibri" w:cs="Arial"/>
          <w:sz w:val="22"/>
          <w:szCs w:val="22"/>
        </w:rPr>
        <w:t xml:space="preserve">Win N, </w:t>
      </w:r>
      <w:proofErr w:type="spellStart"/>
      <w:r w:rsidRPr="00511E77">
        <w:rPr>
          <w:rFonts w:ascii="Calibri" w:eastAsia="Times New Roman" w:hAnsi="Calibri" w:cs="Arial"/>
          <w:sz w:val="22"/>
          <w:szCs w:val="22"/>
        </w:rPr>
        <w:t>Tullie</w:t>
      </w:r>
      <w:proofErr w:type="spellEnd"/>
      <w:r w:rsidRPr="00511E77">
        <w:rPr>
          <w:rFonts w:ascii="Calibri" w:eastAsia="Times New Roman" w:hAnsi="Calibri" w:cs="Arial"/>
          <w:sz w:val="22"/>
          <w:szCs w:val="22"/>
        </w:rPr>
        <w:t xml:space="preserve"> Y, Needs M, Chen FE, </w:t>
      </w:r>
      <w:proofErr w:type="spellStart"/>
      <w:r w:rsidRPr="00511E77">
        <w:rPr>
          <w:rFonts w:ascii="Calibri" w:eastAsia="Times New Roman" w:hAnsi="Calibri" w:cs="Arial"/>
          <w:sz w:val="22"/>
          <w:szCs w:val="22"/>
        </w:rPr>
        <w:t>Okpala</w:t>
      </w:r>
      <w:proofErr w:type="spellEnd"/>
      <w:r w:rsidRPr="00511E77">
        <w:rPr>
          <w:rFonts w:ascii="Calibri" w:eastAsia="Times New Roman" w:hAnsi="Calibri" w:cs="Arial"/>
          <w:sz w:val="22"/>
          <w:szCs w:val="22"/>
        </w:rPr>
        <w:t xml:space="preserve"> I. Use of intravenous immunoglobulin and intravenous methylprednisolone in </w:t>
      </w:r>
      <w:proofErr w:type="spellStart"/>
      <w:r w:rsidRPr="00511E77">
        <w:rPr>
          <w:rFonts w:ascii="Calibri" w:eastAsia="Times New Roman" w:hAnsi="Calibri" w:cs="Arial"/>
          <w:sz w:val="22"/>
          <w:szCs w:val="22"/>
        </w:rPr>
        <w:t>hyperhaemolysis</w:t>
      </w:r>
      <w:proofErr w:type="spellEnd"/>
      <w:r w:rsidRPr="00511E77">
        <w:rPr>
          <w:rFonts w:ascii="Calibri" w:eastAsia="Times New Roman" w:hAnsi="Calibri" w:cs="Arial"/>
          <w:sz w:val="22"/>
          <w:szCs w:val="22"/>
        </w:rPr>
        <w:t xml:space="preserve"> syndrome in sickle cell disease. </w:t>
      </w:r>
      <w:proofErr w:type="gramStart"/>
      <w:r w:rsidRPr="00511E77">
        <w:rPr>
          <w:rFonts w:ascii="Calibri" w:eastAsia="Times New Roman" w:hAnsi="Calibri" w:cs="Arial"/>
          <w:sz w:val="22"/>
          <w:szCs w:val="22"/>
        </w:rPr>
        <w:t>(2004) Haematology.</w:t>
      </w:r>
      <w:proofErr w:type="gramEnd"/>
      <w:r w:rsidRPr="00511E77">
        <w:rPr>
          <w:rFonts w:ascii="Calibri" w:eastAsia="Times New Roman" w:hAnsi="Calibri" w:cs="Arial"/>
          <w:sz w:val="22"/>
          <w:szCs w:val="22"/>
        </w:rPr>
        <w:t xml:space="preserve"> 9; 433-6</w:t>
      </w:r>
    </w:p>
    <w:p w:rsidR="00511E77" w:rsidRPr="00511E77" w:rsidRDefault="00511E77" w:rsidP="00511E77">
      <w:pPr>
        <w:widowControl/>
        <w:autoSpaceDE/>
        <w:autoSpaceDN/>
        <w:adjustRightInd/>
        <w:rPr>
          <w:rFonts w:ascii="Calibri" w:eastAsia="Times New Roman" w:hAnsi="Calibri" w:cs="Arial"/>
          <w:sz w:val="22"/>
          <w:szCs w:val="22"/>
        </w:rPr>
      </w:pPr>
    </w:p>
    <w:p w:rsidR="00511E77" w:rsidRPr="00511E77" w:rsidRDefault="00511E77" w:rsidP="00511E77">
      <w:pPr>
        <w:widowControl/>
        <w:autoSpaceDE/>
        <w:autoSpaceDN/>
        <w:adjustRightInd/>
        <w:rPr>
          <w:rFonts w:ascii="Calibri" w:eastAsia="Times New Roman" w:hAnsi="Calibri" w:cs="Arial"/>
          <w:sz w:val="22"/>
          <w:szCs w:val="22"/>
        </w:rPr>
      </w:pPr>
      <w:r w:rsidRPr="00511E77">
        <w:rPr>
          <w:rFonts w:ascii="Calibri" w:eastAsia="Times New Roman" w:hAnsi="Calibri" w:cs="Arial"/>
          <w:sz w:val="22"/>
          <w:szCs w:val="22"/>
        </w:rPr>
        <w:t xml:space="preserve">Win N, New H, Lee E, De La </w:t>
      </w:r>
      <w:proofErr w:type="spellStart"/>
      <w:r w:rsidRPr="00511E77">
        <w:rPr>
          <w:rFonts w:ascii="Calibri" w:eastAsia="Times New Roman" w:hAnsi="Calibri" w:cs="Arial"/>
          <w:sz w:val="22"/>
          <w:szCs w:val="22"/>
        </w:rPr>
        <w:t>Fuente</w:t>
      </w:r>
      <w:proofErr w:type="spellEnd"/>
      <w:r w:rsidRPr="00511E77">
        <w:rPr>
          <w:rFonts w:ascii="Calibri" w:eastAsia="Times New Roman" w:hAnsi="Calibri" w:cs="Arial"/>
          <w:sz w:val="22"/>
          <w:szCs w:val="22"/>
        </w:rPr>
        <w:t xml:space="preserve"> J. </w:t>
      </w:r>
      <w:proofErr w:type="spellStart"/>
      <w:r w:rsidRPr="00511E77">
        <w:rPr>
          <w:rFonts w:ascii="Calibri" w:eastAsia="Times New Roman" w:hAnsi="Calibri" w:cs="Arial"/>
          <w:sz w:val="22"/>
          <w:szCs w:val="22"/>
        </w:rPr>
        <w:t>Hyperhemolysis</w:t>
      </w:r>
      <w:proofErr w:type="spellEnd"/>
      <w:r w:rsidRPr="00511E77">
        <w:rPr>
          <w:rFonts w:ascii="Calibri" w:eastAsia="Times New Roman" w:hAnsi="Calibri" w:cs="Arial"/>
          <w:sz w:val="22"/>
          <w:szCs w:val="22"/>
        </w:rPr>
        <w:t xml:space="preserve"> syndrome in sickle cell disease: case report (recurrent episode) and literature review. </w:t>
      </w:r>
      <w:proofErr w:type="gramStart"/>
      <w:r w:rsidRPr="00511E77">
        <w:rPr>
          <w:rFonts w:ascii="Calibri" w:eastAsia="Times New Roman" w:hAnsi="Calibri" w:cs="Arial"/>
          <w:sz w:val="22"/>
          <w:szCs w:val="22"/>
        </w:rPr>
        <w:t>(2008) Transfusion.</w:t>
      </w:r>
      <w:proofErr w:type="gramEnd"/>
      <w:r w:rsidRPr="00511E77">
        <w:rPr>
          <w:rFonts w:ascii="Calibri" w:eastAsia="Times New Roman" w:hAnsi="Calibri" w:cs="Arial"/>
          <w:sz w:val="22"/>
          <w:szCs w:val="22"/>
        </w:rPr>
        <w:t xml:space="preserve"> 48; 1231-1238</w:t>
      </w:r>
    </w:p>
    <w:p w:rsidR="00511E77" w:rsidRPr="00511E77" w:rsidRDefault="00511E77" w:rsidP="00511E77">
      <w:pPr>
        <w:widowControl/>
        <w:autoSpaceDE/>
        <w:autoSpaceDN/>
        <w:adjustRightInd/>
        <w:rPr>
          <w:rFonts w:ascii="Calibri" w:eastAsia="Times New Roman" w:hAnsi="Calibri" w:cs="Arial"/>
          <w:sz w:val="22"/>
          <w:szCs w:val="22"/>
        </w:rPr>
      </w:pPr>
    </w:p>
    <w:p w:rsidR="00511E77" w:rsidRPr="00511E77" w:rsidRDefault="00511E77" w:rsidP="00511E77">
      <w:pPr>
        <w:widowControl/>
        <w:autoSpaceDE/>
        <w:autoSpaceDN/>
        <w:adjustRightInd/>
        <w:rPr>
          <w:rFonts w:ascii="Calibri" w:eastAsia="Times New Roman" w:hAnsi="Calibri" w:cs="Arial"/>
          <w:sz w:val="22"/>
          <w:szCs w:val="22"/>
        </w:rPr>
      </w:pPr>
      <w:proofErr w:type="spellStart"/>
      <w:r w:rsidRPr="00511E77">
        <w:rPr>
          <w:rFonts w:ascii="Calibri" w:eastAsia="Times New Roman" w:hAnsi="Calibri" w:cs="Arial"/>
          <w:sz w:val="22"/>
          <w:szCs w:val="22"/>
        </w:rPr>
        <w:t>Yazdanbakhsh</w:t>
      </w:r>
      <w:proofErr w:type="spellEnd"/>
      <w:r w:rsidRPr="00511E77">
        <w:rPr>
          <w:rFonts w:ascii="Calibri" w:eastAsia="Times New Roman" w:hAnsi="Calibri" w:cs="Arial"/>
          <w:sz w:val="22"/>
          <w:szCs w:val="22"/>
        </w:rPr>
        <w:t xml:space="preserve"> K, Ware R, </w:t>
      </w:r>
      <w:proofErr w:type="spellStart"/>
      <w:r w:rsidRPr="00511E77">
        <w:rPr>
          <w:rFonts w:ascii="Calibri" w:eastAsia="Times New Roman" w:hAnsi="Calibri" w:cs="Arial"/>
          <w:sz w:val="22"/>
          <w:szCs w:val="22"/>
        </w:rPr>
        <w:t>Noizat-Pirenne</w:t>
      </w:r>
      <w:proofErr w:type="spellEnd"/>
      <w:r w:rsidRPr="00511E77">
        <w:rPr>
          <w:rFonts w:ascii="Calibri" w:eastAsia="Times New Roman" w:hAnsi="Calibri" w:cs="Arial"/>
          <w:sz w:val="22"/>
          <w:szCs w:val="22"/>
        </w:rPr>
        <w:t xml:space="preserve"> F. Red blood cell </w:t>
      </w:r>
      <w:proofErr w:type="spellStart"/>
      <w:r w:rsidRPr="00511E77">
        <w:rPr>
          <w:rFonts w:ascii="Calibri" w:eastAsia="Times New Roman" w:hAnsi="Calibri" w:cs="Arial"/>
          <w:sz w:val="22"/>
          <w:szCs w:val="22"/>
        </w:rPr>
        <w:t>alloimunization</w:t>
      </w:r>
      <w:proofErr w:type="spellEnd"/>
      <w:r w:rsidRPr="00511E77">
        <w:rPr>
          <w:rFonts w:ascii="Calibri" w:eastAsia="Times New Roman" w:hAnsi="Calibri" w:cs="Arial"/>
          <w:sz w:val="22"/>
          <w:szCs w:val="22"/>
        </w:rPr>
        <w:t xml:space="preserve"> in sickle cell </w:t>
      </w:r>
      <w:proofErr w:type="gramStart"/>
      <w:r w:rsidRPr="00511E77">
        <w:rPr>
          <w:rFonts w:ascii="Calibri" w:eastAsia="Times New Roman" w:hAnsi="Calibri" w:cs="Arial"/>
          <w:sz w:val="22"/>
          <w:szCs w:val="22"/>
        </w:rPr>
        <w:t>disease :</w:t>
      </w:r>
      <w:proofErr w:type="gramEnd"/>
      <w:r w:rsidRPr="00511E77">
        <w:rPr>
          <w:rFonts w:ascii="Calibri" w:eastAsia="Times New Roman" w:hAnsi="Calibri" w:cs="Arial"/>
          <w:sz w:val="22"/>
          <w:szCs w:val="22"/>
        </w:rPr>
        <w:t xml:space="preserve"> pathophysiology, risk factors and transfusion management. </w:t>
      </w:r>
      <w:proofErr w:type="gramStart"/>
      <w:r w:rsidRPr="00511E77">
        <w:rPr>
          <w:rFonts w:ascii="Calibri" w:eastAsia="Times New Roman" w:hAnsi="Calibri" w:cs="Arial"/>
          <w:sz w:val="22"/>
          <w:szCs w:val="22"/>
        </w:rPr>
        <w:t>(2012) Blood.</w:t>
      </w:r>
      <w:proofErr w:type="gramEnd"/>
      <w:r w:rsidRPr="00511E77">
        <w:rPr>
          <w:rFonts w:ascii="Calibri" w:eastAsia="Times New Roman" w:hAnsi="Calibri" w:cs="Arial"/>
          <w:sz w:val="22"/>
          <w:szCs w:val="22"/>
        </w:rPr>
        <w:t xml:space="preserve"> 120; 528-537 </w:t>
      </w:r>
    </w:p>
    <w:p w:rsidR="00511E77" w:rsidRPr="00511E77" w:rsidRDefault="00511E77" w:rsidP="00511E77">
      <w:pPr>
        <w:widowControl/>
        <w:autoSpaceDE/>
        <w:autoSpaceDN/>
        <w:adjustRightInd/>
        <w:rPr>
          <w:rFonts w:ascii="Arial" w:eastAsia="Times New Roman" w:hAnsi="Arial" w:cs="Arial"/>
          <w:sz w:val="22"/>
          <w:szCs w:val="22"/>
        </w:rPr>
      </w:pPr>
    </w:p>
    <w:p w:rsidR="008004AB" w:rsidRPr="001C49BB" w:rsidRDefault="008004AB" w:rsidP="001C49BB">
      <w:pPr>
        <w:ind w:left="635"/>
        <w:rPr>
          <w:rFonts w:ascii="Arial" w:hAnsi="Arial" w:cs="Arial"/>
          <w:sz w:val="22"/>
          <w:szCs w:val="22"/>
        </w:rPr>
      </w:pPr>
    </w:p>
    <w:sectPr w:rsidR="008004AB" w:rsidRPr="001C49BB" w:rsidSect="00A35FA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39" w:rsidRDefault="00A02639" w:rsidP="00FC5932">
      <w:r>
        <w:separator/>
      </w:r>
    </w:p>
  </w:endnote>
  <w:endnote w:type="continuationSeparator" w:id="0">
    <w:p w:rsidR="00A02639" w:rsidRDefault="00A02639" w:rsidP="00FC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pple Symbols">
    <w:altName w:val="Times New Roman"/>
    <w:charset w:val="00"/>
    <w:family w:val="auto"/>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BodyText"/>
      <w:kinsoku w:val="0"/>
      <w:overflowPunct w:val="0"/>
      <w:spacing w:line="14" w:lineRule="auto"/>
      <w:ind w:left="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39" w:rsidRDefault="00A02639" w:rsidP="00FC5932">
      <w:r>
        <w:separator/>
      </w:r>
    </w:p>
  </w:footnote>
  <w:footnote w:type="continuationSeparator" w:id="0">
    <w:p w:rsidR="00A02639" w:rsidRDefault="00A02639" w:rsidP="00FC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39" w:rsidRDefault="00A02639">
    <w:pPr>
      <w:pStyle w:val="Header"/>
    </w:pPr>
  </w:p>
  <w:p w:rsidR="00A02639" w:rsidRDefault="00A02639" w:rsidP="00CE1C71">
    <w:pPr>
      <w:pStyle w:val="Header"/>
      <w:ind w:left="5040"/>
    </w:pPr>
    <w:r>
      <w:rPr>
        <w:noProof/>
      </w:rPr>
      <w:drawing>
        <wp:inline distT="0" distB="0" distL="0" distR="0">
          <wp:extent cx="3224173" cy="357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586" cy="3548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380" w:hanging="361"/>
      </w:pPr>
      <w:rPr>
        <w:rFonts w:ascii="Symbol" w:hAnsi="Symbol" w:cs="Courier New"/>
        <w:b w:val="0"/>
        <w:bCs w:val="0"/>
        <w:w w:val="99"/>
        <w:sz w:val="22"/>
        <w:szCs w:val="22"/>
      </w:rPr>
    </w:lvl>
    <w:lvl w:ilvl="1">
      <w:numFmt w:val="bullet"/>
      <w:lvlText w:val="•"/>
      <w:lvlJc w:val="left"/>
      <w:pPr>
        <w:ind w:left="2168" w:hanging="361"/>
      </w:pPr>
    </w:lvl>
    <w:lvl w:ilvl="2">
      <w:numFmt w:val="bullet"/>
      <w:lvlText w:val="•"/>
      <w:lvlJc w:val="left"/>
      <w:pPr>
        <w:ind w:left="2956" w:hanging="361"/>
      </w:pPr>
    </w:lvl>
    <w:lvl w:ilvl="3">
      <w:numFmt w:val="bullet"/>
      <w:lvlText w:val="•"/>
      <w:lvlJc w:val="left"/>
      <w:pPr>
        <w:ind w:left="3744" w:hanging="361"/>
      </w:pPr>
    </w:lvl>
    <w:lvl w:ilvl="4">
      <w:numFmt w:val="bullet"/>
      <w:lvlText w:val="•"/>
      <w:lvlJc w:val="left"/>
      <w:pPr>
        <w:ind w:left="4532" w:hanging="361"/>
      </w:pPr>
    </w:lvl>
    <w:lvl w:ilvl="5">
      <w:numFmt w:val="bullet"/>
      <w:lvlText w:val="•"/>
      <w:lvlJc w:val="left"/>
      <w:pPr>
        <w:ind w:left="5320" w:hanging="361"/>
      </w:pPr>
    </w:lvl>
    <w:lvl w:ilvl="6">
      <w:numFmt w:val="bullet"/>
      <w:lvlText w:val="•"/>
      <w:lvlJc w:val="left"/>
      <w:pPr>
        <w:ind w:left="6108" w:hanging="361"/>
      </w:pPr>
    </w:lvl>
    <w:lvl w:ilvl="7">
      <w:numFmt w:val="bullet"/>
      <w:lvlText w:val="•"/>
      <w:lvlJc w:val="left"/>
      <w:pPr>
        <w:ind w:left="6896" w:hanging="361"/>
      </w:pPr>
    </w:lvl>
    <w:lvl w:ilvl="8">
      <w:numFmt w:val="bullet"/>
      <w:lvlText w:val="•"/>
      <w:lvlJc w:val="left"/>
      <w:pPr>
        <w:ind w:left="7684" w:hanging="361"/>
      </w:pPr>
    </w:lvl>
  </w:abstractNum>
  <w:abstractNum w:abstractNumId="1">
    <w:nsid w:val="00000403"/>
    <w:multiLevelType w:val="multilevel"/>
    <w:tmpl w:val="00000886"/>
    <w:lvl w:ilvl="0">
      <w:start w:val="1"/>
      <w:numFmt w:val="decimal"/>
      <w:lvlText w:val="%1."/>
      <w:lvlJc w:val="left"/>
      <w:pPr>
        <w:ind w:left="640" w:hanging="540"/>
      </w:pPr>
      <w:rPr>
        <w:rFonts w:ascii="Arial" w:hAnsi="Arial" w:cs="Symbol"/>
        <w:b/>
        <w:bCs/>
        <w:w w:val="99"/>
      </w:rPr>
    </w:lvl>
    <w:lvl w:ilvl="1">
      <w:numFmt w:val="bullet"/>
      <w:lvlText w:val=""/>
      <w:lvlJc w:val="left"/>
      <w:pPr>
        <w:ind w:left="1359" w:hanging="361"/>
      </w:pPr>
      <w:rPr>
        <w:rFonts w:ascii="Symbol" w:hAnsi="Symbol" w:cs="Courier New"/>
        <w:b w:val="0"/>
        <w:bCs w:val="0"/>
        <w:w w:val="99"/>
        <w:sz w:val="22"/>
        <w:szCs w:val="22"/>
      </w:rPr>
    </w:lvl>
    <w:lvl w:ilvl="2">
      <w:numFmt w:val="bullet"/>
      <w:lvlText w:val="•"/>
      <w:lvlJc w:val="left"/>
      <w:pPr>
        <w:ind w:left="940" w:hanging="361"/>
      </w:pPr>
    </w:lvl>
    <w:lvl w:ilvl="3">
      <w:numFmt w:val="bullet"/>
      <w:lvlText w:val="•"/>
      <w:lvlJc w:val="left"/>
      <w:pPr>
        <w:ind w:left="1360" w:hanging="361"/>
      </w:pPr>
    </w:lvl>
    <w:lvl w:ilvl="4">
      <w:numFmt w:val="bullet"/>
      <w:lvlText w:val="•"/>
      <w:lvlJc w:val="left"/>
      <w:pPr>
        <w:ind w:left="2488" w:hanging="361"/>
      </w:pPr>
    </w:lvl>
    <w:lvl w:ilvl="5">
      <w:numFmt w:val="bullet"/>
      <w:lvlText w:val="•"/>
      <w:lvlJc w:val="left"/>
      <w:pPr>
        <w:ind w:left="3617" w:hanging="361"/>
      </w:pPr>
    </w:lvl>
    <w:lvl w:ilvl="6">
      <w:numFmt w:val="bullet"/>
      <w:lvlText w:val="•"/>
      <w:lvlJc w:val="left"/>
      <w:pPr>
        <w:ind w:left="4745" w:hanging="361"/>
      </w:pPr>
    </w:lvl>
    <w:lvl w:ilvl="7">
      <w:numFmt w:val="bullet"/>
      <w:lvlText w:val="•"/>
      <w:lvlJc w:val="left"/>
      <w:pPr>
        <w:ind w:left="5874" w:hanging="361"/>
      </w:pPr>
    </w:lvl>
    <w:lvl w:ilvl="8">
      <w:numFmt w:val="bullet"/>
      <w:lvlText w:val="•"/>
      <w:lvlJc w:val="left"/>
      <w:pPr>
        <w:ind w:left="7002" w:hanging="361"/>
      </w:pPr>
    </w:lvl>
  </w:abstractNum>
  <w:abstractNum w:abstractNumId="2">
    <w:nsid w:val="00000404"/>
    <w:multiLevelType w:val="multilevel"/>
    <w:tmpl w:val="00000887"/>
    <w:lvl w:ilvl="0">
      <w:start w:val="5"/>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1359" w:hanging="360"/>
      </w:pPr>
      <w:rPr>
        <w:rFonts w:ascii="Symbol" w:hAnsi="Symbol" w:cs="Courier New"/>
        <w:b w:val="0"/>
        <w:bCs w:val="0"/>
        <w:w w:val="99"/>
        <w:sz w:val="22"/>
        <w:szCs w:val="22"/>
      </w:rPr>
    </w:lvl>
    <w:lvl w:ilvl="3">
      <w:numFmt w:val="bullet"/>
      <w:lvlText w:val="•"/>
      <w:lvlJc w:val="left"/>
      <w:pPr>
        <w:ind w:left="2522" w:hanging="360"/>
      </w:pPr>
    </w:lvl>
    <w:lvl w:ilvl="4">
      <w:numFmt w:val="bullet"/>
      <w:lvlText w:val="•"/>
      <w:lvlJc w:val="left"/>
      <w:pPr>
        <w:ind w:left="3485" w:hanging="360"/>
      </w:pPr>
    </w:lvl>
    <w:lvl w:ilvl="5">
      <w:numFmt w:val="bullet"/>
      <w:lvlText w:val="•"/>
      <w:lvlJc w:val="left"/>
      <w:pPr>
        <w:ind w:left="4447" w:hanging="360"/>
      </w:pPr>
    </w:lvl>
    <w:lvl w:ilvl="6">
      <w:numFmt w:val="bullet"/>
      <w:lvlText w:val="•"/>
      <w:lvlJc w:val="left"/>
      <w:pPr>
        <w:ind w:left="5410" w:hanging="360"/>
      </w:pPr>
    </w:lvl>
    <w:lvl w:ilvl="7">
      <w:numFmt w:val="bullet"/>
      <w:lvlText w:val="•"/>
      <w:lvlJc w:val="left"/>
      <w:pPr>
        <w:ind w:left="6372" w:hanging="360"/>
      </w:pPr>
    </w:lvl>
    <w:lvl w:ilvl="8">
      <w:numFmt w:val="bullet"/>
      <w:lvlText w:val="•"/>
      <w:lvlJc w:val="left"/>
      <w:pPr>
        <w:ind w:left="7335" w:hanging="360"/>
      </w:pPr>
    </w:lvl>
  </w:abstractNum>
  <w:abstractNum w:abstractNumId="3">
    <w:nsid w:val="00000405"/>
    <w:multiLevelType w:val="multilevel"/>
    <w:tmpl w:val="00000888"/>
    <w:lvl w:ilvl="0">
      <w:start w:val="6"/>
      <w:numFmt w:val="decimal"/>
      <w:lvlText w:val="%1"/>
      <w:lvlJc w:val="left"/>
      <w:pPr>
        <w:ind w:left="1007" w:hanging="367"/>
      </w:pPr>
    </w:lvl>
    <w:lvl w:ilvl="1">
      <w:start w:val="1"/>
      <w:numFmt w:val="decimal"/>
      <w:lvlText w:val="%1.%2"/>
      <w:lvlJc w:val="left"/>
      <w:pPr>
        <w:ind w:left="1007" w:hanging="367"/>
      </w:pPr>
      <w:rPr>
        <w:rFonts w:ascii="Arial" w:hAnsi="Arial" w:cs="Symbol"/>
        <w:b/>
        <w:bCs/>
        <w:w w:val="99"/>
        <w:sz w:val="22"/>
        <w:szCs w:val="22"/>
      </w:rPr>
    </w:lvl>
    <w:lvl w:ilvl="2">
      <w:numFmt w:val="bullet"/>
      <w:lvlText w:val="•"/>
      <w:lvlJc w:val="left"/>
      <w:pPr>
        <w:ind w:left="2295" w:hanging="367"/>
      </w:pPr>
    </w:lvl>
    <w:lvl w:ilvl="3">
      <w:numFmt w:val="bullet"/>
      <w:lvlText w:val="•"/>
      <w:lvlJc w:val="left"/>
      <w:pPr>
        <w:ind w:left="3231" w:hanging="367"/>
      </w:pPr>
    </w:lvl>
    <w:lvl w:ilvl="4">
      <w:numFmt w:val="bullet"/>
      <w:lvlText w:val="•"/>
      <w:lvlJc w:val="left"/>
      <w:pPr>
        <w:ind w:left="4166" w:hanging="367"/>
      </w:pPr>
    </w:lvl>
    <w:lvl w:ilvl="5">
      <w:numFmt w:val="bullet"/>
      <w:lvlText w:val="•"/>
      <w:lvlJc w:val="left"/>
      <w:pPr>
        <w:ind w:left="5102" w:hanging="367"/>
      </w:pPr>
    </w:lvl>
    <w:lvl w:ilvl="6">
      <w:numFmt w:val="bullet"/>
      <w:lvlText w:val="•"/>
      <w:lvlJc w:val="left"/>
      <w:pPr>
        <w:ind w:left="6037" w:hanging="367"/>
      </w:pPr>
    </w:lvl>
    <w:lvl w:ilvl="7">
      <w:numFmt w:val="bullet"/>
      <w:lvlText w:val="•"/>
      <w:lvlJc w:val="left"/>
      <w:pPr>
        <w:ind w:left="6973" w:hanging="367"/>
      </w:pPr>
    </w:lvl>
    <w:lvl w:ilvl="8">
      <w:numFmt w:val="bullet"/>
      <w:lvlText w:val="•"/>
      <w:lvlJc w:val="left"/>
      <w:pPr>
        <w:ind w:left="7908" w:hanging="367"/>
      </w:pPr>
    </w:lvl>
  </w:abstractNum>
  <w:abstractNum w:abstractNumId="4">
    <w:nsid w:val="00000406"/>
    <w:multiLevelType w:val="multilevel"/>
    <w:tmpl w:val="00000889"/>
    <w:lvl w:ilvl="0">
      <w:numFmt w:val="bullet"/>
      <w:lvlText w:val="-"/>
      <w:lvlJc w:val="left"/>
      <w:pPr>
        <w:ind w:left="1359" w:hanging="360"/>
      </w:pPr>
      <w:rPr>
        <w:rFonts w:ascii="Times New Roman" w:hAnsi="Times New Roman" w:cs="Times New Roman"/>
        <w:b w:val="0"/>
        <w:bCs w:val="0"/>
        <w:w w:val="99"/>
        <w:sz w:val="22"/>
        <w:szCs w:val="22"/>
      </w:rPr>
    </w:lvl>
    <w:lvl w:ilvl="1">
      <w:numFmt w:val="bullet"/>
      <w:lvlText w:val="•"/>
      <w:lvlJc w:val="left"/>
      <w:pPr>
        <w:ind w:left="2202" w:hanging="360"/>
      </w:pPr>
    </w:lvl>
    <w:lvl w:ilvl="2">
      <w:numFmt w:val="bullet"/>
      <w:lvlText w:val="•"/>
      <w:lvlJc w:val="left"/>
      <w:pPr>
        <w:ind w:left="3044" w:hanging="360"/>
      </w:pPr>
    </w:lvl>
    <w:lvl w:ilvl="3">
      <w:numFmt w:val="bullet"/>
      <w:lvlText w:val="•"/>
      <w:lvlJc w:val="left"/>
      <w:pPr>
        <w:ind w:left="3886" w:hanging="360"/>
      </w:pPr>
    </w:lvl>
    <w:lvl w:ilvl="4">
      <w:numFmt w:val="bullet"/>
      <w:lvlText w:val="•"/>
      <w:lvlJc w:val="left"/>
      <w:pPr>
        <w:ind w:left="4728" w:hanging="360"/>
      </w:pPr>
    </w:lvl>
    <w:lvl w:ilvl="5">
      <w:numFmt w:val="bullet"/>
      <w:lvlText w:val="•"/>
      <w:lvlJc w:val="left"/>
      <w:pPr>
        <w:ind w:left="5570" w:hanging="360"/>
      </w:pPr>
    </w:lvl>
    <w:lvl w:ilvl="6">
      <w:numFmt w:val="bullet"/>
      <w:lvlText w:val="•"/>
      <w:lvlJc w:val="left"/>
      <w:pPr>
        <w:ind w:left="6412" w:hanging="360"/>
      </w:pPr>
    </w:lvl>
    <w:lvl w:ilvl="7">
      <w:numFmt w:val="bullet"/>
      <w:lvlText w:val="•"/>
      <w:lvlJc w:val="left"/>
      <w:pPr>
        <w:ind w:left="7254" w:hanging="360"/>
      </w:pPr>
    </w:lvl>
    <w:lvl w:ilvl="8">
      <w:numFmt w:val="bullet"/>
      <w:lvlText w:val="•"/>
      <w:lvlJc w:val="left"/>
      <w:pPr>
        <w:ind w:left="8096" w:hanging="360"/>
      </w:pPr>
    </w:lvl>
  </w:abstractNum>
  <w:abstractNum w:abstractNumId="5">
    <w:nsid w:val="00000407"/>
    <w:multiLevelType w:val="multilevel"/>
    <w:tmpl w:val="0000088A"/>
    <w:lvl w:ilvl="0">
      <w:numFmt w:val="bullet"/>
      <w:lvlText w:val=""/>
      <w:lvlJc w:val="left"/>
      <w:pPr>
        <w:ind w:left="609" w:hanging="150"/>
      </w:pPr>
      <w:rPr>
        <w:rFonts w:ascii="Symbol" w:hAnsi="Symbol" w:cs="Courier New"/>
        <w:b w:val="0"/>
        <w:bCs w:val="0"/>
        <w:w w:val="99"/>
        <w:sz w:val="22"/>
        <w:szCs w:val="22"/>
      </w:rPr>
    </w:lvl>
    <w:lvl w:ilvl="1">
      <w:numFmt w:val="bullet"/>
      <w:lvlText w:val=""/>
      <w:lvlJc w:val="left"/>
      <w:pPr>
        <w:ind w:left="1051" w:hanging="212"/>
      </w:pPr>
      <w:rPr>
        <w:rFonts w:ascii="Symbol" w:hAnsi="Symbol" w:cs="Courier New"/>
        <w:b w:val="0"/>
        <w:bCs w:val="0"/>
        <w:w w:val="99"/>
        <w:sz w:val="22"/>
        <w:szCs w:val="22"/>
      </w:rPr>
    </w:lvl>
    <w:lvl w:ilvl="2">
      <w:numFmt w:val="bullet"/>
      <w:lvlText w:val="•"/>
      <w:lvlJc w:val="left"/>
      <w:pPr>
        <w:ind w:left="1968" w:hanging="212"/>
      </w:pPr>
    </w:lvl>
    <w:lvl w:ilvl="3">
      <w:numFmt w:val="bullet"/>
      <w:lvlText w:val="•"/>
      <w:lvlJc w:val="left"/>
      <w:pPr>
        <w:ind w:left="2877" w:hanging="212"/>
      </w:pPr>
    </w:lvl>
    <w:lvl w:ilvl="4">
      <w:numFmt w:val="bullet"/>
      <w:lvlText w:val="•"/>
      <w:lvlJc w:val="left"/>
      <w:pPr>
        <w:ind w:left="3786" w:hanging="212"/>
      </w:pPr>
    </w:lvl>
    <w:lvl w:ilvl="5">
      <w:numFmt w:val="bullet"/>
      <w:lvlText w:val="•"/>
      <w:lvlJc w:val="left"/>
      <w:pPr>
        <w:ind w:left="4695" w:hanging="212"/>
      </w:pPr>
    </w:lvl>
    <w:lvl w:ilvl="6">
      <w:numFmt w:val="bullet"/>
      <w:lvlText w:val="•"/>
      <w:lvlJc w:val="left"/>
      <w:pPr>
        <w:ind w:left="5604" w:hanging="212"/>
      </w:pPr>
    </w:lvl>
    <w:lvl w:ilvl="7">
      <w:numFmt w:val="bullet"/>
      <w:lvlText w:val="•"/>
      <w:lvlJc w:val="left"/>
      <w:pPr>
        <w:ind w:left="6513" w:hanging="212"/>
      </w:pPr>
    </w:lvl>
    <w:lvl w:ilvl="8">
      <w:numFmt w:val="bullet"/>
      <w:lvlText w:val="•"/>
      <w:lvlJc w:val="left"/>
      <w:pPr>
        <w:ind w:left="7422" w:hanging="212"/>
      </w:pPr>
    </w:lvl>
  </w:abstractNum>
  <w:abstractNum w:abstractNumId="6">
    <w:nsid w:val="00000408"/>
    <w:multiLevelType w:val="multilevel"/>
    <w:tmpl w:val="0000088B"/>
    <w:lvl w:ilvl="0">
      <w:start w:val="9"/>
      <w:numFmt w:val="decimal"/>
      <w:lvlText w:val="%1"/>
      <w:lvlJc w:val="left"/>
      <w:pPr>
        <w:ind w:left="1007" w:hanging="368"/>
      </w:pPr>
    </w:lvl>
    <w:lvl w:ilvl="1">
      <w:start w:val="1"/>
      <w:numFmt w:val="decimal"/>
      <w:lvlText w:val="%1.%2"/>
      <w:lvlJc w:val="left"/>
      <w:pPr>
        <w:ind w:left="1007" w:hanging="368"/>
      </w:pPr>
      <w:rPr>
        <w:rFonts w:ascii="Arial" w:hAnsi="Arial" w:cs="Symbol"/>
        <w:b/>
        <w:bCs/>
        <w:w w:val="99"/>
        <w:sz w:val="22"/>
        <w:szCs w:val="22"/>
      </w:rPr>
    </w:lvl>
    <w:lvl w:ilvl="2">
      <w:numFmt w:val="bullet"/>
      <w:lvlText w:val="•"/>
      <w:lvlJc w:val="left"/>
      <w:pPr>
        <w:ind w:left="2756" w:hanging="368"/>
      </w:pPr>
    </w:lvl>
    <w:lvl w:ilvl="3">
      <w:numFmt w:val="bullet"/>
      <w:lvlText w:val="•"/>
      <w:lvlJc w:val="left"/>
      <w:pPr>
        <w:ind w:left="3634" w:hanging="368"/>
      </w:pPr>
    </w:lvl>
    <w:lvl w:ilvl="4">
      <w:numFmt w:val="bullet"/>
      <w:lvlText w:val="•"/>
      <w:lvlJc w:val="left"/>
      <w:pPr>
        <w:ind w:left="4512" w:hanging="368"/>
      </w:pPr>
    </w:lvl>
    <w:lvl w:ilvl="5">
      <w:numFmt w:val="bullet"/>
      <w:lvlText w:val="•"/>
      <w:lvlJc w:val="left"/>
      <w:pPr>
        <w:ind w:left="5390" w:hanging="368"/>
      </w:pPr>
    </w:lvl>
    <w:lvl w:ilvl="6">
      <w:numFmt w:val="bullet"/>
      <w:lvlText w:val="•"/>
      <w:lvlJc w:val="left"/>
      <w:pPr>
        <w:ind w:left="6268" w:hanging="368"/>
      </w:pPr>
    </w:lvl>
    <w:lvl w:ilvl="7">
      <w:numFmt w:val="bullet"/>
      <w:lvlText w:val="•"/>
      <w:lvlJc w:val="left"/>
      <w:pPr>
        <w:ind w:left="7146" w:hanging="368"/>
      </w:pPr>
    </w:lvl>
    <w:lvl w:ilvl="8">
      <w:numFmt w:val="bullet"/>
      <w:lvlText w:val="•"/>
      <w:lvlJc w:val="left"/>
      <w:pPr>
        <w:ind w:left="8024" w:hanging="368"/>
      </w:pPr>
    </w:lvl>
  </w:abstractNum>
  <w:abstractNum w:abstractNumId="7">
    <w:nsid w:val="00000409"/>
    <w:multiLevelType w:val="multilevel"/>
    <w:tmpl w:val="0000088C"/>
    <w:lvl w:ilvl="0">
      <w:numFmt w:val="bullet"/>
      <w:lvlText w:val=""/>
      <w:lvlJc w:val="left"/>
      <w:pPr>
        <w:ind w:left="273" w:hanging="154"/>
      </w:pPr>
      <w:rPr>
        <w:rFonts w:ascii="Symbol" w:hAnsi="Symbol" w:cs="Courier New"/>
        <w:b w:val="0"/>
        <w:bCs w:val="0"/>
        <w:w w:val="99"/>
        <w:sz w:val="10"/>
        <w:szCs w:val="10"/>
      </w:rPr>
    </w:lvl>
    <w:lvl w:ilvl="1">
      <w:numFmt w:val="bullet"/>
      <w:lvlText w:val="•"/>
      <w:lvlJc w:val="left"/>
      <w:pPr>
        <w:ind w:left="527" w:hanging="154"/>
      </w:pPr>
    </w:lvl>
    <w:lvl w:ilvl="2">
      <w:numFmt w:val="bullet"/>
      <w:lvlText w:val="•"/>
      <w:lvlJc w:val="left"/>
      <w:pPr>
        <w:ind w:left="774" w:hanging="154"/>
      </w:pPr>
    </w:lvl>
    <w:lvl w:ilvl="3">
      <w:numFmt w:val="bullet"/>
      <w:lvlText w:val="•"/>
      <w:lvlJc w:val="left"/>
      <w:pPr>
        <w:ind w:left="1021" w:hanging="154"/>
      </w:pPr>
    </w:lvl>
    <w:lvl w:ilvl="4">
      <w:numFmt w:val="bullet"/>
      <w:lvlText w:val="•"/>
      <w:lvlJc w:val="left"/>
      <w:pPr>
        <w:ind w:left="1268" w:hanging="154"/>
      </w:pPr>
    </w:lvl>
    <w:lvl w:ilvl="5">
      <w:numFmt w:val="bullet"/>
      <w:lvlText w:val="•"/>
      <w:lvlJc w:val="left"/>
      <w:pPr>
        <w:ind w:left="1515" w:hanging="154"/>
      </w:pPr>
    </w:lvl>
    <w:lvl w:ilvl="6">
      <w:numFmt w:val="bullet"/>
      <w:lvlText w:val="•"/>
      <w:lvlJc w:val="left"/>
      <w:pPr>
        <w:ind w:left="1762" w:hanging="154"/>
      </w:pPr>
    </w:lvl>
    <w:lvl w:ilvl="7">
      <w:numFmt w:val="bullet"/>
      <w:lvlText w:val="•"/>
      <w:lvlJc w:val="left"/>
      <w:pPr>
        <w:ind w:left="2009" w:hanging="154"/>
      </w:pPr>
    </w:lvl>
    <w:lvl w:ilvl="8">
      <w:numFmt w:val="bullet"/>
      <w:lvlText w:val="•"/>
      <w:lvlJc w:val="left"/>
      <w:pPr>
        <w:ind w:left="2256" w:hanging="154"/>
      </w:pPr>
    </w:lvl>
  </w:abstractNum>
  <w:abstractNum w:abstractNumId="8">
    <w:nsid w:val="0000040A"/>
    <w:multiLevelType w:val="multilevel"/>
    <w:tmpl w:val="0000088D"/>
    <w:lvl w:ilvl="0">
      <w:numFmt w:val="bullet"/>
      <w:lvlText w:val=""/>
      <w:lvlJc w:val="left"/>
      <w:pPr>
        <w:ind w:left="438" w:hanging="334"/>
      </w:pPr>
      <w:rPr>
        <w:rFonts w:ascii="Symbol" w:hAnsi="Symbol" w:cs="Courier New"/>
        <w:b w:val="0"/>
        <w:bCs w:val="0"/>
        <w:w w:val="99"/>
        <w:sz w:val="10"/>
        <w:szCs w:val="10"/>
      </w:rPr>
    </w:lvl>
    <w:lvl w:ilvl="1">
      <w:numFmt w:val="bullet"/>
      <w:lvlText w:val="•"/>
      <w:lvlJc w:val="left"/>
      <w:pPr>
        <w:ind w:left="670" w:hanging="334"/>
      </w:pPr>
    </w:lvl>
    <w:lvl w:ilvl="2">
      <w:numFmt w:val="bullet"/>
      <w:lvlText w:val="•"/>
      <w:lvlJc w:val="left"/>
      <w:pPr>
        <w:ind w:left="901" w:hanging="334"/>
      </w:pPr>
    </w:lvl>
    <w:lvl w:ilvl="3">
      <w:numFmt w:val="bullet"/>
      <w:lvlText w:val="•"/>
      <w:lvlJc w:val="left"/>
      <w:pPr>
        <w:ind w:left="1131" w:hanging="334"/>
      </w:pPr>
    </w:lvl>
    <w:lvl w:ilvl="4">
      <w:numFmt w:val="bullet"/>
      <w:lvlText w:val="•"/>
      <w:lvlJc w:val="left"/>
      <w:pPr>
        <w:ind w:left="1362" w:hanging="334"/>
      </w:pPr>
    </w:lvl>
    <w:lvl w:ilvl="5">
      <w:numFmt w:val="bullet"/>
      <w:lvlText w:val="•"/>
      <w:lvlJc w:val="left"/>
      <w:pPr>
        <w:ind w:left="1592" w:hanging="334"/>
      </w:pPr>
    </w:lvl>
    <w:lvl w:ilvl="6">
      <w:numFmt w:val="bullet"/>
      <w:lvlText w:val="•"/>
      <w:lvlJc w:val="left"/>
      <w:pPr>
        <w:ind w:left="1823" w:hanging="334"/>
      </w:pPr>
    </w:lvl>
    <w:lvl w:ilvl="7">
      <w:numFmt w:val="bullet"/>
      <w:lvlText w:val="•"/>
      <w:lvlJc w:val="left"/>
      <w:pPr>
        <w:ind w:left="2053" w:hanging="334"/>
      </w:pPr>
    </w:lvl>
    <w:lvl w:ilvl="8">
      <w:numFmt w:val="bullet"/>
      <w:lvlText w:val="•"/>
      <w:lvlJc w:val="left"/>
      <w:pPr>
        <w:ind w:left="2284" w:hanging="334"/>
      </w:pPr>
    </w:lvl>
  </w:abstractNum>
  <w:abstractNum w:abstractNumId="9">
    <w:nsid w:val="0000040B"/>
    <w:multiLevelType w:val="multilevel"/>
    <w:tmpl w:val="0000088E"/>
    <w:lvl w:ilvl="0">
      <w:numFmt w:val="bullet"/>
      <w:lvlText w:val="-"/>
      <w:lvlJc w:val="left"/>
      <w:pPr>
        <w:ind w:left="823" w:hanging="361"/>
      </w:pPr>
      <w:rPr>
        <w:rFonts w:ascii="Arial" w:hAnsi="Arial" w:cs="Symbol"/>
        <w:b w:val="0"/>
        <w:bCs w:val="0"/>
        <w:w w:val="99"/>
        <w:sz w:val="16"/>
        <w:szCs w:val="16"/>
      </w:rPr>
    </w:lvl>
    <w:lvl w:ilvl="1">
      <w:numFmt w:val="bullet"/>
      <w:lvlText w:val="•"/>
      <w:lvlJc w:val="left"/>
      <w:pPr>
        <w:ind w:left="1037" w:hanging="361"/>
      </w:pPr>
    </w:lvl>
    <w:lvl w:ilvl="2">
      <w:numFmt w:val="bullet"/>
      <w:lvlText w:val="•"/>
      <w:lvlJc w:val="left"/>
      <w:pPr>
        <w:ind w:left="1254" w:hanging="361"/>
      </w:pPr>
    </w:lvl>
    <w:lvl w:ilvl="3">
      <w:numFmt w:val="bullet"/>
      <w:lvlText w:val="•"/>
      <w:lvlJc w:val="left"/>
      <w:pPr>
        <w:ind w:left="1471" w:hanging="361"/>
      </w:pPr>
    </w:lvl>
    <w:lvl w:ilvl="4">
      <w:numFmt w:val="bullet"/>
      <w:lvlText w:val="•"/>
      <w:lvlJc w:val="left"/>
      <w:pPr>
        <w:ind w:left="1688" w:hanging="361"/>
      </w:pPr>
    </w:lvl>
    <w:lvl w:ilvl="5">
      <w:numFmt w:val="bullet"/>
      <w:lvlText w:val="•"/>
      <w:lvlJc w:val="left"/>
      <w:pPr>
        <w:ind w:left="1905" w:hanging="361"/>
      </w:pPr>
    </w:lvl>
    <w:lvl w:ilvl="6">
      <w:numFmt w:val="bullet"/>
      <w:lvlText w:val="•"/>
      <w:lvlJc w:val="left"/>
      <w:pPr>
        <w:ind w:left="2122" w:hanging="361"/>
      </w:pPr>
    </w:lvl>
    <w:lvl w:ilvl="7">
      <w:numFmt w:val="bullet"/>
      <w:lvlText w:val="•"/>
      <w:lvlJc w:val="left"/>
      <w:pPr>
        <w:ind w:left="2339" w:hanging="361"/>
      </w:pPr>
    </w:lvl>
    <w:lvl w:ilvl="8">
      <w:numFmt w:val="bullet"/>
      <w:lvlText w:val="•"/>
      <w:lvlJc w:val="left"/>
      <w:pPr>
        <w:ind w:left="2556" w:hanging="361"/>
      </w:pPr>
    </w:lvl>
  </w:abstractNum>
  <w:abstractNum w:abstractNumId="10">
    <w:nsid w:val="0000040C"/>
    <w:multiLevelType w:val="multilevel"/>
    <w:tmpl w:val="0000088F"/>
    <w:lvl w:ilvl="0">
      <w:numFmt w:val="bullet"/>
      <w:lvlText w:val=""/>
      <w:lvlJc w:val="left"/>
      <w:pPr>
        <w:ind w:left="373" w:hanging="319"/>
      </w:pPr>
      <w:rPr>
        <w:rFonts w:ascii="Symbol" w:hAnsi="Symbol" w:cs="Courier New"/>
        <w:b w:val="0"/>
        <w:bCs w:val="0"/>
        <w:w w:val="99"/>
        <w:sz w:val="16"/>
        <w:szCs w:val="16"/>
      </w:rPr>
    </w:lvl>
    <w:lvl w:ilvl="1">
      <w:numFmt w:val="bullet"/>
      <w:lvlText w:val="•"/>
      <w:lvlJc w:val="left"/>
      <w:pPr>
        <w:ind w:left="641" w:hanging="319"/>
      </w:pPr>
    </w:lvl>
    <w:lvl w:ilvl="2">
      <w:numFmt w:val="bullet"/>
      <w:lvlText w:val="•"/>
      <w:lvlJc w:val="left"/>
      <w:pPr>
        <w:ind w:left="902" w:hanging="319"/>
      </w:pPr>
    </w:lvl>
    <w:lvl w:ilvl="3">
      <w:numFmt w:val="bullet"/>
      <w:lvlText w:val="•"/>
      <w:lvlJc w:val="left"/>
      <w:pPr>
        <w:ind w:left="1163" w:hanging="319"/>
      </w:pPr>
    </w:lvl>
    <w:lvl w:ilvl="4">
      <w:numFmt w:val="bullet"/>
      <w:lvlText w:val="•"/>
      <w:lvlJc w:val="left"/>
      <w:pPr>
        <w:ind w:left="1424" w:hanging="319"/>
      </w:pPr>
    </w:lvl>
    <w:lvl w:ilvl="5">
      <w:numFmt w:val="bullet"/>
      <w:lvlText w:val="•"/>
      <w:lvlJc w:val="left"/>
      <w:pPr>
        <w:ind w:left="1685" w:hanging="319"/>
      </w:pPr>
    </w:lvl>
    <w:lvl w:ilvl="6">
      <w:numFmt w:val="bullet"/>
      <w:lvlText w:val="•"/>
      <w:lvlJc w:val="left"/>
      <w:pPr>
        <w:ind w:left="1946" w:hanging="319"/>
      </w:pPr>
    </w:lvl>
    <w:lvl w:ilvl="7">
      <w:numFmt w:val="bullet"/>
      <w:lvlText w:val="•"/>
      <w:lvlJc w:val="left"/>
      <w:pPr>
        <w:ind w:left="2207" w:hanging="319"/>
      </w:pPr>
    </w:lvl>
    <w:lvl w:ilvl="8">
      <w:numFmt w:val="bullet"/>
      <w:lvlText w:val="•"/>
      <w:lvlJc w:val="left"/>
      <w:pPr>
        <w:ind w:left="2468" w:hanging="319"/>
      </w:pPr>
    </w:lvl>
  </w:abstractNum>
  <w:abstractNum w:abstractNumId="11">
    <w:nsid w:val="0000040D"/>
    <w:multiLevelType w:val="multilevel"/>
    <w:tmpl w:val="00000890"/>
    <w:lvl w:ilvl="0">
      <w:numFmt w:val="bullet"/>
      <w:lvlText w:val=""/>
      <w:lvlJc w:val="left"/>
      <w:pPr>
        <w:ind w:left="463" w:hanging="361"/>
      </w:pPr>
      <w:rPr>
        <w:rFonts w:ascii="Symbol" w:hAnsi="Symbol" w:cs="Courier New"/>
        <w:b w:val="0"/>
        <w:bCs w:val="0"/>
        <w:w w:val="99"/>
        <w:sz w:val="16"/>
        <w:szCs w:val="16"/>
      </w:rPr>
    </w:lvl>
    <w:lvl w:ilvl="1">
      <w:numFmt w:val="bullet"/>
      <w:lvlText w:val="•"/>
      <w:lvlJc w:val="left"/>
      <w:pPr>
        <w:ind w:left="713" w:hanging="361"/>
      </w:pPr>
    </w:lvl>
    <w:lvl w:ilvl="2">
      <w:numFmt w:val="bullet"/>
      <w:lvlText w:val="•"/>
      <w:lvlJc w:val="left"/>
      <w:pPr>
        <w:ind w:left="966" w:hanging="361"/>
      </w:pPr>
    </w:lvl>
    <w:lvl w:ilvl="3">
      <w:numFmt w:val="bullet"/>
      <w:lvlText w:val="•"/>
      <w:lvlJc w:val="left"/>
      <w:pPr>
        <w:ind w:left="1219" w:hanging="361"/>
      </w:pPr>
    </w:lvl>
    <w:lvl w:ilvl="4">
      <w:numFmt w:val="bullet"/>
      <w:lvlText w:val="•"/>
      <w:lvlJc w:val="left"/>
      <w:pPr>
        <w:ind w:left="1472" w:hanging="361"/>
      </w:pPr>
    </w:lvl>
    <w:lvl w:ilvl="5">
      <w:numFmt w:val="bullet"/>
      <w:lvlText w:val="•"/>
      <w:lvlJc w:val="left"/>
      <w:pPr>
        <w:ind w:left="1725" w:hanging="361"/>
      </w:pPr>
    </w:lvl>
    <w:lvl w:ilvl="6">
      <w:numFmt w:val="bullet"/>
      <w:lvlText w:val="•"/>
      <w:lvlJc w:val="left"/>
      <w:pPr>
        <w:ind w:left="1978" w:hanging="361"/>
      </w:pPr>
    </w:lvl>
    <w:lvl w:ilvl="7">
      <w:numFmt w:val="bullet"/>
      <w:lvlText w:val="•"/>
      <w:lvlJc w:val="left"/>
      <w:pPr>
        <w:ind w:left="2231" w:hanging="361"/>
      </w:pPr>
    </w:lvl>
    <w:lvl w:ilvl="8">
      <w:numFmt w:val="bullet"/>
      <w:lvlText w:val="•"/>
      <w:lvlJc w:val="left"/>
      <w:pPr>
        <w:ind w:left="2484" w:hanging="361"/>
      </w:pPr>
    </w:lvl>
  </w:abstractNum>
  <w:abstractNum w:abstractNumId="12">
    <w:nsid w:val="0000040E"/>
    <w:multiLevelType w:val="multilevel"/>
    <w:tmpl w:val="00000891"/>
    <w:lvl w:ilvl="0">
      <w:start w:val="1"/>
      <w:numFmt w:val="decimal"/>
      <w:lvlText w:val="%1."/>
      <w:lvlJc w:val="left"/>
      <w:pPr>
        <w:ind w:left="634" w:hanging="535"/>
      </w:pPr>
      <w:rPr>
        <w:rFonts w:ascii="Arial" w:hAnsi="Arial" w:cs="Symbol"/>
        <w:b/>
        <w:bCs/>
        <w:w w:val="100"/>
        <w:sz w:val="24"/>
        <w:szCs w:val="24"/>
      </w:rPr>
    </w:lvl>
    <w:lvl w:ilvl="1">
      <w:start w:val="1"/>
      <w:numFmt w:val="decimal"/>
      <w:lvlText w:val="%2."/>
      <w:lvlJc w:val="left"/>
      <w:pPr>
        <w:ind w:left="4196" w:hanging="268"/>
      </w:pPr>
      <w:rPr>
        <w:spacing w:val="-1"/>
        <w:u w:val="thick"/>
      </w:rPr>
    </w:lvl>
    <w:lvl w:ilvl="2">
      <w:numFmt w:val="bullet"/>
      <w:lvlText w:val="•"/>
      <w:lvlJc w:val="left"/>
      <w:pPr>
        <w:ind w:left="4200" w:hanging="268"/>
      </w:pPr>
    </w:lvl>
    <w:lvl w:ilvl="3">
      <w:numFmt w:val="bullet"/>
      <w:lvlText w:val="•"/>
      <w:lvlJc w:val="left"/>
      <w:pPr>
        <w:ind w:left="4875" w:hanging="268"/>
      </w:pPr>
    </w:lvl>
    <w:lvl w:ilvl="4">
      <w:numFmt w:val="bullet"/>
      <w:lvlText w:val="•"/>
      <w:lvlJc w:val="left"/>
      <w:pPr>
        <w:ind w:left="5550" w:hanging="268"/>
      </w:pPr>
    </w:lvl>
    <w:lvl w:ilvl="5">
      <w:numFmt w:val="bullet"/>
      <w:lvlText w:val="•"/>
      <w:lvlJc w:val="left"/>
      <w:pPr>
        <w:ind w:left="6225" w:hanging="268"/>
      </w:pPr>
    </w:lvl>
    <w:lvl w:ilvl="6">
      <w:numFmt w:val="bullet"/>
      <w:lvlText w:val="•"/>
      <w:lvlJc w:val="left"/>
      <w:pPr>
        <w:ind w:left="6900" w:hanging="268"/>
      </w:pPr>
    </w:lvl>
    <w:lvl w:ilvl="7">
      <w:numFmt w:val="bullet"/>
      <w:lvlText w:val="•"/>
      <w:lvlJc w:val="left"/>
      <w:pPr>
        <w:ind w:left="7575" w:hanging="268"/>
      </w:pPr>
    </w:lvl>
    <w:lvl w:ilvl="8">
      <w:numFmt w:val="bullet"/>
      <w:lvlText w:val="•"/>
      <w:lvlJc w:val="left"/>
      <w:pPr>
        <w:ind w:left="8250" w:hanging="268"/>
      </w:pPr>
    </w:lvl>
  </w:abstractNum>
  <w:abstractNum w:abstractNumId="13">
    <w:nsid w:val="00AB4623"/>
    <w:multiLevelType w:val="multilevel"/>
    <w:tmpl w:val="D11C99D6"/>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nsid w:val="01803708"/>
    <w:multiLevelType w:val="hybridMultilevel"/>
    <w:tmpl w:val="6D6AE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A6395A"/>
    <w:multiLevelType w:val="hybridMultilevel"/>
    <w:tmpl w:val="7A9E69A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nsid w:val="1223735A"/>
    <w:multiLevelType w:val="multilevel"/>
    <w:tmpl w:val="3E48D288"/>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12933380"/>
    <w:multiLevelType w:val="hybridMultilevel"/>
    <w:tmpl w:val="04D8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4761D42"/>
    <w:multiLevelType w:val="hybridMultilevel"/>
    <w:tmpl w:val="A2C6E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6852B1C"/>
    <w:multiLevelType w:val="hybridMultilevel"/>
    <w:tmpl w:val="FF18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80E0BB3"/>
    <w:multiLevelType w:val="hybridMultilevel"/>
    <w:tmpl w:val="C7386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D31868"/>
    <w:multiLevelType w:val="hybridMultilevel"/>
    <w:tmpl w:val="E162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3603F5"/>
    <w:multiLevelType w:val="hybridMultilevel"/>
    <w:tmpl w:val="1EA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B57EFA"/>
    <w:multiLevelType w:val="hybridMultilevel"/>
    <w:tmpl w:val="175E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5D510FC"/>
    <w:multiLevelType w:val="hybridMultilevel"/>
    <w:tmpl w:val="91201020"/>
    <w:lvl w:ilvl="0" w:tplc="9A6496BE">
      <w:start w:val="7"/>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26DA34D5"/>
    <w:multiLevelType w:val="hybridMultilevel"/>
    <w:tmpl w:val="E6E4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F6869E9"/>
    <w:multiLevelType w:val="hybridMultilevel"/>
    <w:tmpl w:val="AAC6FF4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891143"/>
    <w:multiLevelType w:val="hybridMultilevel"/>
    <w:tmpl w:val="5BAA1586"/>
    <w:lvl w:ilvl="0" w:tplc="08090001">
      <w:start w:val="1"/>
      <w:numFmt w:val="bullet"/>
      <w:lvlText w:val=""/>
      <w:lvlJc w:val="left"/>
      <w:pPr>
        <w:ind w:left="1354" w:hanging="360"/>
      </w:pPr>
      <w:rPr>
        <w:rFonts w:ascii="Symbol" w:hAnsi="Symbol" w:hint="default"/>
      </w:rPr>
    </w:lvl>
    <w:lvl w:ilvl="1" w:tplc="08090003" w:tentative="1">
      <w:start w:val="1"/>
      <w:numFmt w:val="bullet"/>
      <w:lvlText w:val="o"/>
      <w:lvlJc w:val="left"/>
      <w:pPr>
        <w:ind w:left="2074" w:hanging="360"/>
      </w:pPr>
      <w:rPr>
        <w:rFonts w:ascii="Courier New" w:hAnsi="Courier New" w:cs="Arial"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Arial"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Arial" w:hint="default"/>
      </w:rPr>
    </w:lvl>
    <w:lvl w:ilvl="8" w:tplc="08090005" w:tentative="1">
      <w:start w:val="1"/>
      <w:numFmt w:val="bullet"/>
      <w:lvlText w:val=""/>
      <w:lvlJc w:val="left"/>
      <w:pPr>
        <w:ind w:left="7114" w:hanging="360"/>
      </w:pPr>
      <w:rPr>
        <w:rFonts w:ascii="Wingdings" w:hAnsi="Wingdings" w:hint="default"/>
      </w:rPr>
    </w:lvl>
  </w:abstractNum>
  <w:abstractNum w:abstractNumId="28">
    <w:nsid w:val="3A911BA5"/>
    <w:multiLevelType w:val="multilevel"/>
    <w:tmpl w:val="739E180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9">
    <w:nsid w:val="46A147D0"/>
    <w:multiLevelType w:val="hybridMultilevel"/>
    <w:tmpl w:val="3EE40F8A"/>
    <w:lvl w:ilvl="0" w:tplc="D5CA4B5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nsid w:val="48942268"/>
    <w:multiLevelType w:val="hybridMultilevel"/>
    <w:tmpl w:val="4254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F4630A"/>
    <w:multiLevelType w:val="hybridMultilevel"/>
    <w:tmpl w:val="8026A50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nsid w:val="4EDF7C44"/>
    <w:multiLevelType w:val="hybridMultilevel"/>
    <w:tmpl w:val="71D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2B065A"/>
    <w:multiLevelType w:val="hybridMultilevel"/>
    <w:tmpl w:val="A7AA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8742BD"/>
    <w:multiLevelType w:val="hybridMultilevel"/>
    <w:tmpl w:val="42484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EF7911"/>
    <w:multiLevelType w:val="multilevel"/>
    <w:tmpl w:val="BAFCD1C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2773C8"/>
    <w:multiLevelType w:val="hybridMultilevel"/>
    <w:tmpl w:val="D89C8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82D157A"/>
    <w:multiLevelType w:val="hybridMultilevel"/>
    <w:tmpl w:val="3C783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6D459B"/>
    <w:multiLevelType w:val="hybridMultilevel"/>
    <w:tmpl w:val="0AFA6A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2"/>
  </w:num>
  <w:num w:numId="15">
    <w:abstractNumId w:val="27"/>
  </w:num>
  <w:num w:numId="16">
    <w:abstractNumId w:val="28"/>
  </w:num>
  <w:num w:numId="17">
    <w:abstractNumId w:val="16"/>
  </w:num>
  <w:num w:numId="18">
    <w:abstractNumId w:val="13"/>
  </w:num>
  <w:num w:numId="19">
    <w:abstractNumId w:val="31"/>
  </w:num>
  <w:num w:numId="20">
    <w:abstractNumId w:val="24"/>
  </w:num>
  <w:num w:numId="21">
    <w:abstractNumId w:val="29"/>
  </w:num>
  <w:num w:numId="22">
    <w:abstractNumId w:val="18"/>
  </w:num>
  <w:num w:numId="23">
    <w:abstractNumId w:val="34"/>
  </w:num>
  <w:num w:numId="24">
    <w:abstractNumId w:val="21"/>
  </w:num>
  <w:num w:numId="25">
    <w:abstractNumId w:val="22"/>
  </w:num>
  <w:num w:numId="26">
    <w:abstractNumId w:val="33"/>
  </w:num>
  <w:num w:numId="27">
    <w:abstractNumId w:val="20"/>
  </w:num>
  <w:num w:numId="28">
    <w:abstractNumId w:val="26"/>
  </w:num>
  <w:num w:numId="29">
    <w:abstractNumId w:val="38"/>
  </w:num>
  <w:num w:numId="30">
    <w:abstractNumId w:val="15"/>
  </w:num>
  <w:num w:numId="31">
    <w:abstractNumId w:val="25"/>
  </w:num>
  <w:num w:numId="32">
    <w:abstractNumId w:val="35"/>
  </w:num>
  <w:num w:numId="33">
    <w:abstractNumId w:val="30"/>
  </w:num>
  <w:num w:numId="34">
    <w:abstractNumId w:val="36"/>
  </w:num>
  <w:num w:numId="35">
    <w:abstractNumId w:val="19"/>
  </w:num>
  <w:num w:numId="36">
    <w:abstractNumId w:val="37"/>
  </w:num>
  <w:num w:numId="37">
    <w:abstractNumId w:val="14"/>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2"/>
    <w:rsid w:val="00031F85"/>
    <w:rsid w:val="00051388"/>
    <w:rsid w:val="00052B93"/>
    <w:rsid w:val="000A505A"/>
    <w:rsid w:val="000A6C7C"/>
    <w:rsid w:val="000B0F01"/>
    <w:rsid w:val="000C2E20"/>
    <w:rsid w:val="000F2EF9"/>
    <w:rsid w:val="001770F8"/>
    <w:rsid w:val="00196DD0"/>
    <w:rsid w:val="001C49BB"/>
    <w:rsid w:val="00200884"/>
    <w:rsid w:val="002047ED"/>
    <w:rsid w:val="0022350C"/>
    <w:rsid w:val="00256416"/>
    <w:rsid w:val="002804BD"/>
    <w:rsid w:val="002A1369"/>
    <w:rsid w:val="002B791A"/>
    <w:rsid w:val="002C1988"/>
    <w:rsid w:val="002D16C0"/>
    <w:rsid w:val="00317E89"/>
    <w:rsid w:val="00330144"/>
    <w:rsid w:val="00356A7F"/>
    <w:rsid w:val="00362EC3"/>
    <w:rsid w:val="00374469"/>
    <w:rsid w:val="00397937"/>
    <w:rsid w:val="00412226"/>
    <w:rsid w:val="00412561"/>
    <w:rsid w:val="00423D50"/>
    <w:rsid w:val="004661A7"/>
    <w:rsid w:val="00467B29"/>
    <w:rsid w:val="00487880"/>
    <w:rsid w:val="00511E77"/>
    <w:rsid w:val="00516E42"/>
    <w:rsid w:val="005771F3"/>
    <w:rsid w:val="00587067"/>
    <w:rsid w:val="00593602"/>
    <w:rsid w:val="005B2407"/>
    <w:rsid w:val="00676827"/>
    <w:rsid w:val="006A4F51"/>
    <w:rsid w:val="006C67FC"/>
    <w:rsid w:val="006C692A"/>
    <w:rsid w:val="006D754A"/>
    <w:rsid w:val="007115F0"/>
    <w:rsid w:val="00723894"/>
    <w:rsid w:val="00746254"/>
    <w:rsid w:val="00792FC3"/>
    <w:rsid w:val="007C4CC5"/>
    <w:rsid w:val="007D2FA5"/>
    <w:rsid w:val="007F0B08"/>
    <w:rsid w:val="008004AB"/>
    <w:rsid w:val="00802AE5"/>
    <w:rsid w:val="0080552C"/>
    <w:rsid w:val="00805F3B"/>
    <w:rsid w:val="00842278"/>
    <w:rsid w:val="00846166"/>
    <w:rsid w:val="00863399"/>
    <w:rsid w:val="008663ED"/>
    <w:rsid w:val="0087797F"/>
    <w:rsid w:val="008A37DD"/>
    <w:rsid w:val="008F22EA"/>
    <w:rsid w:val="008F3FAA"/>
    <w:rsid w:val="008F4B2F"/>
    <w:rsid w:val="00937BAF"/>
    <w:rsid w:val="009564F4"/>
    <w:rsid w:val="00970D70"/>
    <w:rsid w:val="0098329C"/>
    <w:rsid w:val="009B025B"/>
    <w:rsid w:val="009B082C"/>
    <w:rsid w:val="00A00023"/>
    <w:rsid w:val="00A02639"/>
    <w:rsid w:val="00A20521"/>
    <w:rsid w:val="00A35FA1"/>
    <w:rsid w:val="00A51AF7"/>
    <w:rsid w:val="00A5552F"/>
    <w:rsid w:val="00AF1BA7"/>
    <w:rsid w:val="00AF64D5"/>
    <w:rsid w:val="00B019A9"/>
    <w:rsid w:val="00B03451"/>
    <w:rsid w:val="00B3284E"/>
    <w:rsid w:val="00BC67FD"/>
    <w:rsid w:val="00C9178A"/>
    <w:rsid w:val="00C96A81"/>
    <w:rsid w:val="00CC5CE9"/>
    <w:rsid w:val="00CE1C71"/>
    <w:rsid w:val="00D74080"/>
    <w:rsid w:val="00D91C71"/>
    <w:rsid w:val="00DA1DCF"/>
    <w:rsid w:val="00E11A9C"/>
    <w:rsid w:val="00E327DD"/>
    <w:rsid w:val="00EB0E4B"/>
    <w:rsid w:val="00ED74C8"/>
    <w:rsid w:val="00F01986"/>
    <w:rsid w:val="00F15F99"/>
    <w:rsid w:val="00F22E20"/>
    <w:rsid w:val="00F236DF"/>
    <w:rsid w:val="00F53907"/>
    <w:rsid w:val="00FB7672"/>
    <w:rsid w:val="00FC59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List Paragraph" w:uiPriority="34" w:qFormat="1"/>
  </w:latentStyles>
  <w:style w:type="paragraph" w:default="1" w:styleId="Normal">
    <w:name w:val="Normal"/>
    <w:uiPriority w:val="1"/>
    <w:qFormat/>
    <w:rsid w:val="00FC593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next w:val="Normal"/>
    <w:link w:val="Heading1Char"/>
    <w:uiPriority w:val="1"/>
    <w:qFormat/>
    <w:rsid w:val="00FC5932"/>
    <w:pPr>
      <w:ind w:left="100"/>
      <w:outlineLvl w:val="0"/>
    </w:pPr>
    <w:rPr>
      <w:rFonts w:ascii="Arial" w:hAnsi="Arial" w:cs="Arial"/>
      <w:b/>
      <w:bCs/>
      <w:sz w:val="28"/>
      <w:szCs w:val="28"/>
      <w:u w:val="single"/>
    </w:rPr>
  </w:style>
  <w:style w:type="paragraph" w:styleId="Heading2">
    <w:name w:val="heading 2"/>
    <w:basedOn w:val="Normal"/>
    <w:next w:val="Normal"/>
    <w:link w:val="Heading2Char"/>
    <w:uiPriority w:val="1"/>
    <w:qFormat/>
    <w:rsid w:val="00FC5932"/>
    <w:pPr>
      <w:ind w:left="635" w:hanging="535"/>
      <w:outlineLvl w:val="1"/>
    </w:pPr>
    <w:rPr>
      <w:rFonts w:ascii="Arial" w:hAnsi="Arial" w:cs="Arial"/>
      <w:b/>
      <w:bCs/>
    </w:rPr>
  </w:style>
  <w:style w:type="paragraph" w:styleId="Heading3">
    <w:name w:val="heading 3"/>
    <w:basedOn w:val="Normal"/>
    <w:next w:val="Normal"/>
    <w:link w:val="Heading3Char"/>
    <w:uiPriority w:val="1"/>
    <w:qFormat/>
    <w:rsid w:val="00FC5932"/>
    <w:pPr>
      <w:ind w:left="10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932"/>
    <w:rPr>
      <w:rFonts w:ascii="Arial" w:eastAsiaTheme="minorEastAsia" w:hAnsi="Arial" w:cs="Arial"/>
      <w:b/>
      <w:bCs/>
      <w:sz w:val="28"/>
      <w:szCs w:val="28"/>
      <w:u w:val="single"/>
      <w:lang w:eastAsia="en-GB"/>
    </w:rPr>
  </w:style>
  <w:style w:type="character" w:customStyle="1" w:styleId="Heading2Char">
    <w:name w:val="Heading 2 Char"/>
    <w:basedOn w:val="DefaultParagraphFont"/>
    <w:link w:val="Heading2"/>
    <w:uiPriority w:val="1"/>
    <w:rsid w:val="00FC5932"/>
    <w:rPr>
      <w:rFonts w:ascii="Arial" w:eastAsiaTheme="minorEastAsia" w:hAnsi="Arial" w:cs="Arial"/>
      <w:b/>
      <w:bCs/>
      <w:sz w:val="24"/>
      <w:szCs w:val="24"/>
      <w:lang w:eastAsia="en-GB"/>
    </w:rPr>
  </w:style>
  <w:style w:type="character" w:customStyle="1" w:styleId="Heading3Char">
    <w:name w:val="Heading 3 Char"/>
    <w:basedOn w:val="DefaultParagraphFont"/>
    <w:link w:val="Heading3"/>
    <w:uiPriority w:val="1"/>
    <w:rsid w:val="00FC5932"/>
    <w:rPr>
      <w:rFonts w:ascii="Arial" w:eastAsiaTheme="minorEastAsia" w:hAnsi="Arial" w:cs="Arial"/>
      <w:b/>
      <w:bCs/>
      <w:lang w:eastAsia="en-GB"/>
    </w:rPr>
  </w:style>
  <w:style w:type="paragraph" w:styleId="BodyText">
    <w:name w:val="Body Text"/>
    <w:basedOn w:val="Normal"/>
    <w:link w:val="BodyTextChar"/>
    <w:uiPriority w:val="1"/>
    <w:qFormat/>
    <w:rsid w:val="00FC5932"/>
    <w:pPr>
      <w:ind w:left="640"/>
    </w:pPr>
    <w:rPr>
      <w:rFonts w:ascii="Arial" w:hAnsi="Arial" w:cs="Arial"/>
      <w:sz w:val="22"/>
      <w:szCs w:val="22"/>
    </w:rPr>
  </w:style>
  <w:style w:type="character" w:customStyle="1" w:styleId="BodyTextChar">
    <w:name w:val="Body Text Char"/>
    <w:basedOn w:val="DefaultParagraphFont"/>
    <w:link w:val="BodyText"/>
    <w:uiPriority w:val="1"/>
    <w:rsid w:val="00FC5932"/>
    <w:rPr>
      <w:rFonts w:ascii="Arial" w:eastAsiaTheme="minorEastAsia" w:hAnsi="Arial" w:cs="Arial"/>
      <w:lang w:eastAsia="en-GB"/>
    </w:rPr>
  </w:style>
  <w:style w:type="paragraph" w:styleId="ListParagraph">
    <w:name w:val="List Paragraph"/>
    <w:basedOn w:val="Normal"/>
    <w:uiPriority w:val="34"/>
    <w:qFormat/>
    <w:rsid w:val="00FC5932"/>
  </w:style>
  <w:style w:type="paragraph" w:customStyle="1" w:styleId="TableParagraph">
    <w:name w:val="Table Paragraph"/>
    <w:basedOn w:val="Normal"/>
    <w:uiPriority w:val="1"/>
    <w:qFormat/>
    <w:rsid w:val="00FC5932"/>
  </w:style>
  <w:style w:type="paragraph" w:styleId="BalloonText">
    <w:name w:val="Balloon Text"/>
    <w:basedOn w:val="Normal"/>
    <w:link w:val="BalloonTextChar"/>
    <w:uiPriority w:val="99"/>
    <w:semiHidden/>
    <w:unhideWhenUsed/>
    <w:rsid w:val="00FC5932"/>
    <w:rPr>
      <w:rFonts w:ascii="Tahoma" w:hAnsi="Tahoma" w:cs="Tahoma"/>
      <w:sz w:val="16"/>
      <w:szCs w:val="16"/>
    </w:rPr>
  </w:style>
  <w:style w:type="character" w:customStyle="1" w:styleId="BalloonTextChar">
    <w:name w:val="Balloon Text Char"/>
    <w:basedOn w:val="DefaultParagraphFont"/>
    <w:link w:val="BalloonText"/>
    <w:uiPriority w:val="99"/>
    <w:semiHidden/>
    <w:rsid w:val="00FC5932"/>
    <w:rPr>
      <w:rFonts w:ascii="Tahoma" w:eastAsiaTheme="minorEastAsia" w:hAnsi="Tahoma" w:cs="Tahoma"/>
      <w:sz w:val="16"/>
      <w:szCs w:val="16"/>
      <w:lang w:eastAsia="en-GB"/>
    </w:rPr>
  </w:style>
  <w:style w:type="paragraph" w:styleId="Header">
    <w:name w:val="header"/>
    <w:basedOn w:val="Normal"/>
    <w:link w:val="HeaderChar"/>
    <w:uiPriority w:val="99"/>
    <w:unhideWhenUsed/>
    <w:rsid w:val="00FC5932"/>
    <w:pPr>
      <w:tabs>
        <w:tab w:val="center" w:pos="4513"/>
        <w:tab w:val="right" w:pos="9026"/>
      </w:tabs>
    </w:pPr>
  </w:style>
  <w:style w:type="character" w:customStyle="1" w:styleId="HeaderChar">
    <w:name w:val="Header Char"/>
    <w:basedOn w:val="DefaultParagraphFont"/>
    <w:link w:val="Header"/>
    <w:uiPriority w:val="99"/>
    <w:rsid w:val="00FC5932"/>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FC5932"/>
    <w:pPr>
      <w:tabs>
        <w:tab w:val="center" w:pos="4513"/>
        <w:tab w:val="right" w:pos="9026"/>
      </w:tabs>
    </w:pPr>
  </w:style>
  <w:style w:type="character" w:customStyle="1" w:styleId="FooterChar">
    <w:name w:val="Footer Char"/>
    <w:basedOn w:val="DefaultParagraphFont"/>
    <w:link w:val="Footer"/>
    <w:uiPriority w:val="99"/>
    <w:rsid w:val="00FC5932"/>
    <w:rPr>
      <w:rFonts w:ascii="Times New Roman" w:eastAsiaTheme="minorEastAsia" w:hAnsi="Times New Roman" w:cs="Times New Roman"/>
      <w:sz w:val="24"/>
      <w:szCs w:val="24"/>
      <w:lang w:eastAsia="en-GB"/>
    </w:rPr>
  </w:style>
  <w:style w:type="table" w:styleId="TableGrid">
    <w:name w:val="Table Grid"/>
    <w:basedOn w:val="TableNormal"/>
    <w:uiPriority w:val="59"/>
    <w:rsid w:val="007462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D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23D50"/>
    <w:rPr>
      <w:color w:val="0000FF" w:themeColor="hyperlink"/>
      <w:u w:val="single"/>
    </w:rPr>
  </w:style>
  <w:style w:type="paragraph" w:customStyle="1" w:styleId="p">
    <w:name w:val="p"/>
    <w:basedOn w:val="Normal"/>
    <w:rsid w:val="005B2407"/>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5B2407"/>
    <w:rPr>
      <w:b/>
      <w:bCs/>
    </w:rPr>
  </w:style>
  <w:style w:type="character" w:customStyle="1" w:styleId="kwd-text">
    <w:name w:val="kwd-text"/>
    <w:basedOn w:val="DefaultParagraphFont"/>
    <w:rsid w:val="005B2407"/>
  </w:style>
  <w:style w:type="character" w:styleId="FollowedHyperlink">
    <w:name w:val="FollowedHyperlink"/>
    <w:basedOn w:val="DefaultParagraphFont"/>
    <w:rsid w:val="00802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52452">
      <w:bodyDiv w:val="1"/>
      <w:marLeft w:val="0"/>
      <w:marRight w:val="0"/>
      <w:marTop w:val="0"/>
      <w:marBottom w:val="0"/>
      <w:divBdr>
        <w:top w:val="none" w:sz="0" w:space="0" w:color="auto"/>
        <w:left w:val="none" w:sz="0" w:space="0" w:color="auto"/>
        <w:bottom w:val="none" w:sz="0" w:space="0" w:color="auto"/>
        <w:right w:val="none" w:sz="0" w:space="0" w:color="auto"/>
      </w:divBdr>
    </w:div>
    <w:div w:id="575675934">
      <w:bodyDiv w:val="1"/>
      <w:marLeft w:val="0"/>
      <w:marRight w:val="0"/>
      <w:marTop w:val="0"/>
      <w:marBottom w:val="0"/>
      <w:divBdr>
        <w:top w:val="none" w:sz="0" w:space="0" w:color="auto"/>
        <w:left w:val="none" w:sz="0" w:space="0" w:color="auto"/>
        <w:bottom w:val="none" w:sz="0" w:space="0" w:color="auto"/>
        <w:right w:val="none" w:sz="0" w:space="0" w:color="auto"/>
      </w:divBdr>
      <w:divsChild>
        <w:div w:id="1076900321">
          <w:marLeft w:val="0"/>
          <w:marRight w:val="0"/>
          <w:marTop w:val="0"/>
          <w:marBottom w:val="0"/>
          <w:divBdr>
            <w:top w:val="none" w:sz="0" w:space="0" w:color="auto"/>
            <w:left w:val="none" w:sz="0" w:space="0" w:color="auto"/>
            <w:bottom w:val="none" w:sz="0" w:space="0" w:color="auto"/>
            <w:right w:val="none" w:sz="0" w:space="0" w:color="auto"/>
          </w:divBdr>
          <w:divsChild>
            <w:div w:id="1007437794">
              <w:marLeft w:val="0"/>
              <w:marRight w:val="0"/>
              <w:marTop w:val="0"/>
              <w:marBottom w:val="0"/>
              <w:divBdr>
                <w:top w:val="none" w:sz="0" w:space="0" w:color="auto"/>
                <w:left w:val="none" w:sz="0" w:space="0" w:color="auto"/>
                <w:bottom w:val="none" w:sz="0" w:space="0" w:color="auto"/>
                <w:right w:val="none" w:sz="0" w:space="0" w:color="auto"/>
              </w:divBdr>
              <w:divsChild>
                <w:div w:id="703672628">
                  <w:marLeft w:val="0"/>
                  <w:marRight w:val="0"/>
                  <w:marTop w:val="0"/>
                  <w:marBottom w:val="0"/>
                  <w:divBdr>
                    <w:top w:val="none" w:sz="0" w:space="0" w:color="auto"/>
                    <w:left w:val="none" w:sz="0" w:space="0" w:color="auto"/>
                    <w:bottom w:val="none" w:sz="0" w:space="0" w:color="auto"/>
                    <w:right w:val="none" w:sz="0" w:space="0" w:color="auto"/>
                  </w:divBdr>
                  <w:divsChild>
                    <w:div w:id="1836191406">
                      <w:marLeft w:val="0"/>
                      <w:marRight w:val="0"/>
                      <w:marTop w:val="0"/>
                      <w:marBottom w:val="0"/>
                      <w:divBdr>
                        <w:top w:val="none" w:sz="0" w:space="0" w:color="auto"/>
                        <w:left w:val="none" w:sz="0" w:space="0" w:color="auto"/>
                        <w:bottom w:val="none" w:sz="0" w:space="0" w:color="auto"/>
                        <w:right w:val="none" w:sz="0" w:space="0" w:color="auto"/>
                      </w:divBdr>
                      <w:divsChild>
                        <w:div w:id="1630935738">
                          <w:marLeft w:val="0"/>
                          <w:marRight w:val="0"/>
                          <w:marTop w:val="0"/>
                          <w:marBottom w:val="0"/>
                          <w:divBdr>
                            <w:top w:val="none" w:sz="0" w:space="0" w:color="auto"/>
                            <w:left w:val="none" w:sz="0" w:space="0" w:color="auto"/>
                            <w:bottom w:val="none" w:sz="0" w:space="0" w:color="auto"/>
                            <w:right w:val="none" w:sz="0" w:space="0" w:color="auto"/>
                          </w:divBdr>
                          <w:divsChild>
                            <w:div w:id="323053027">
                              <w:marLeft w:val="0"/>
                              <w:marRight w:val="0"/>
                              <w:marTop w:val="0"/>
                              <w:marBottom w:val="0"/>
                              <w:divBdr>
                                <w:top w:val="none" w:sz="0" w:space="0" w:color="auto"/>
                                <w:left w:val="none" w:sz="0" w:space="0" w:color="auto"/>
                                <w:bottom w:val="none" w:sz="0" w:space="0" w:color="auto"/>
                                <w:right w:val="none" w:sz="0" w:space="0" w:color="auto"/>
                              </w:divBdr>
                              <w:divsChild>
                                <w:div w:id="500707275">
                                  <w:marLeft w:val="-225"/>
                                  <w:marRight w:val="-225"/>
                                  <w:marTop w:val="0"/>
                                  <w:marBottom w:val="0"/>
                                  <w:divBdr>
                                    <w:top w:val="none" w:sz="0" w:space="0" w:color="auto"/>
                                    <w:left w:val="none" w:sz="0" w:space="0" w:color="auto"/>
                                    <w:bottom w:val="none" w:sz="0" w:space="0" w:color="auto"/>
                                    <w:right w:val="none" w:sz="0" w:space="0" w:color="auto"/>
                                  </w:divBdr>
                                  <w:divsChild>
                                    <w:div w:id="1853301233">
                                      <w:marLeft w:val="0"/>
                                      <w:marRight w:val="0"/>
                                      <w:marTop w:val="0"/>
                                      <w:marBottom w:val="0"/>
                                      <w:divBdr>
                                        <w:top w:val="none" w:sz="0" w:space="0" w:color="auto"/>
                                        <w:left w:val="none" w:sz="0" w:space="0" w:color="auto"/>
                                        <w:bottom w:val="none" w:sz="0" w:space="0" w:color="auto"/>
                                        <w:right w:val="none" w:sz="0" w:space="0" w:color="auto"/>
                                      </w:divBdr>
                                      <w:divsChild>
                                        <w:div w:id="1479759140">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225"/>
                                              <w:marRight w:val="-225"/>
                                              <w:marTop w:val="0"/>
                                              <w:marBottom w:val="0"/>
                                              <w:divBdr>
                                                <w:top w:val="none" w:sz="0" w:space="0" w:color="auto"/>
                                                <w:left w:val="none" w:sz="0" w:space="0" w:color="auto"/>
                                                <w:bottom w:val="none" w:sz="0" w:space="0" w:color="auto"/>
                                                <w:right w:val="none" w:sz="0" w:space="0" w:color="auto"/>
                                              </w:divBdr>
                                              <w:divsChild>
                                                <w:div w:id="1809742225">
                                                  <w:marLeft w:val="0"/>
                                                  <w:marRight w:val="0"/>
                                                  <w:marTop w:val="0"/>
                                                  <w:marBottom w:val="0"/>
                                                  <w:divBdr>
                                                    <w:top w:val="none" w:sz="0" w:space="0" w:color="auto"/>
                                                    <w:left w:val="none" w:sz="0" w:space="0" w:color="auto"/>
                                                    <w:bottom w:val="none" w:sz="0" w:space="0" w:color="auto"/>
                                                    <w:right w:val="none" w:sz="0" w:space="0" w:color="auto"/>
                                                  </w:divBdr>
                                                  <w:divsChild>
                                                    <w:div w:id="1531063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708457">
      <w:bodyDiv w:val="1"/>
      <w:marLeft w:val="0"/>
      <w:marRight w:val="0"/>
      <w:marTop w:val="0"/>
      <w:marBottom w:val="0"/>
      <w:divBdr>
        <w:top w:val="none" w:sz="0" w:space="0" w:color="auto"/>
        <w:left w:val="none" w:sz="0" w:space="0" w:color="auto"/>
        <w:bottom w:val="none" w:sz="0" w:space="0" w:color="auto"/>
        <w:right w:val="none" w:sz="0" w:space="0" w:color="auto"/>
      </w:divBdr>
    </w:div>
    <w:div w:id="1529217149">
      <w:bodyDiv w:val="1"/>
      <w:marLeft w:val="0"/>
      <w:marRight w:val="0"/>
      <w:marTop w:val="0"/>
      <w:marBottom w:val="0"/>
      <w:divBdr>
        <w:top w:val="none" w:sz="0" w:space="0" w:color="auto"/>
        <w:left w:val="none" w:sz="0" w:space="0" w:color="auto"/>
        <w:bottom w:val="none" w:sz="0" w:space="0" w:color="auto"/>
        <w:right w:val="none" w:sz="0" w:space="0" w:color="auto"/>
      </w:divBdr>
      <w:divsChild>
        <w:div w:id="1969117689">
          <w:marLeft w:val="0"/>
          <w:marRight w:val="0"/>
          <w:marTop w:val="0"/>
          <w:marBottom w:val="0"/>
          <w:divBdr>
            <w:top w:val="none" w:sz="0" w:space="0" w:color="auto"/>
            <w:left w:val="none" w:sz="0" w:space="0" w:color="auto"/>
            <w:bottom w:val="none" w:sz="0" w:space="0" w:color="auto"/>
            <w:right w:val="none" w:sz="0" w:space="0" w:color="auto"/>
          </w:divBdr>
          <w:divsChild>
            <w:div w:id="526143643">
              <w:marLeft w:val="0"/>
              <w:marRight w:val="0"/>
              <w:marTop w:val="0"/>
              <w:marBottom w:val="0"/>
              <w:divBdr>
                <w:top w:val="none" w:sz="0" w:space="0" w:color="auto"/>
                <w:left w:val="none" w:sz="0" w:space="0" w:color="auto"/>
                <w:bottom w:val="none" w:sz="0" w:space="0" w:color="auto"/>
                <w:right w:val="none" w:sz="0" w:space="0" w:color="auto"/>
              </w:divBdr>
              <w:divsChild>
                <w:div w:id="2065829566">
                  <w:marLeft w:val="0"/>
                  <w:marRight w:val="0"/>
                  <w:marTop w:val="0"/>
                  <w:marBottom w:val="0"/>
                  <w:divBdr>
                    <w:top w:val="none" w:sz="0" w:space="0" w:color="auto"/>
                    <w:left w:val="none" w:sz="0" w:space="0" w:color="auto"/>
                    <w:bottom w:val="none" w:sz="0" w:space="0" w:color="auto"/>
                    <w:right w:val="none" w:sz="0" w:space="0" w:color="auto"/>
                  </w:divBdr>
                  <w:divsChild>
                    <w:div w:id="621377114">
                      <w:marLeft w:val="0"/>
                      <w:marRight w:val="0"/>
                      <w:marTop w:val="0"/>
                      <w:marBottom w:val="0"/>
                      <w:divBdr>
                        <w:top w:val="none" w:sz="0" w:space="0" w:color="auto"/>
                        <w:left w:val="none" w:sz="0" w:space="0" w:color="auto"/>
                        <w:bottom w:val="none" w:sz="0" w:space="0" w:color="auto"/>
                        <w:right w:val="none" w:sz="0" w:space="0" w:color="auto"/>
                      </w:divBdr>
                      <w:divsChild>
                        <w:div w:id="656035987">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0"/>
                              <w:marRight w:val="0"/>
                              <w:marTop w:val="0"/>
                              <w:marBottom w:val="0"/>
                              <w:divBdr>
                                <w:top w:val="none" w:sz="0" w:space="0" w:color="auto"/>
                                <w:left w:val="none" w:sz="0" w:space="0" w:color="auto"/>
                                <w:bottom w:val="none" w:sz="0" w:space="0" w:color="auto"/>
                                <w:right w:val="none" w:sz="0" w:space="0" w:color="auto"/>
                              </w:divBdr>
                              <w:divsChild>
                                <w:div w:id="1121413988">
                                  <w:marLeft w:val="0"/>
                                  <w:marRight w:val="0"/>
                                  <w:marTop w:val="0"/>
                                  <w:marBottom w:val="0"/>
                                  <w:divBdr>
                                    <w:top w:val="none" w:sz="0" w:space="0" w:color="auto"/>
                                    <w:left w:val="none" w:sz="0" w:space="0" w:color="auto"/>
                                    <w:bottom w:val="none" w:sz="0" w:space="0" w:color="auto"/>
                                    <w:right w:val="none" w:sz="0" w:space="0" w:color="auto"/>
                                  </w:divBdr>
                                  <w:divsChild>
                                    <w:div w:id="2105300746">
                                      <w:marLeft w:val="0"/>
                                      <w:marRight w:val="0"/>
                                      <w:marTop w:val="0"/>
                                      <w:marBottom w:val="0"/>
                                      <w:divBdr>
                                        <w:top w:val="none" w:sz="0" w:space="0" w:color="auto"/>
                                        <w:left w:val="none" w:sz="0" w:space="0" w:color="auto"/>
                                        <w:bottom w:val="none" w:sz="0" w:space="0" w:color="auto"/>
                                        <w:right w:val="none" w:sz="0" w:space="0" w:color="auto"/>
                                      </w:divBdr>
                                      <w:divsChild>
                                        <w:div w:id="1837838546">
                                          <w:marLeft w:val="0"/>
                                          <w:marRight w:val="0"/>
                                          <w:marTop w:val="0"/>
                                          <w:marBottom w:val="0"/>
                                          <w:divBdr>
                                            <w:top w:val="none" w:sz="0" w:space="0" w:color="auto"/>
                                            <w:left w:val="none" w:sz="0" w:space="0" w:color="auto"/>
                                            <w:bottom w:val="none" w:sz="0" w:space="0" w:color="auto"/>
                                            <w:right w:val="none" w:sz="0" w:space="0" w:color="auto"/>
                                          </w:divBdr>
                                          <w:divsChild>
                                            <w:div w:id="613903480">
                                              <w:marLeft w:val="0"/>
                                              <w:marRight w:val="0"/>
                                              <w:marTop w:val="0"/>
                                              <w:marBottom w:val="0"/>
                                              <w:divBdr>
                                                <w:top w:val="none" w:sz="0" w:space="0" w:color="auto"/>
                                                <w:left w:val="none" w:sz="0" w:space="0" w:color="auto"/>
                                                <w:bottom w:val="none" w:sz="0" w:space="0" w:color="auto"/>
                                                <w:right w:val="none" w:sz="0" w:space="0" w:color="auto"/>
                                              </w:divBdr>
                                              <w:divsChild>
                                                <w:div w:id="810051243">
                                                  <w:marLeft w:val="0"/>
                                                  <w:marRight w:val="0"/>
                                                  <w:marTop w:val="0"/>
                                                  <w:marBottom w:val="0"/>
                                                  <w:divBdr>
                                                    <w:top w:val="none" w:sz="0" w:space="0" w:color="auto"/>
                                                    <w:left w:val="none" w:sz="0" w:space="0" w:color="auto"/>
                                                    <w:bottom w:val="none" w:sz="0" w:space="0" w:color="auto"/>
                                                    <w:right w:val="none" w:sz="0" w:space="0" w:color="auto"/>
                                                  </w:divBdr>
                                                  <w:divsChild>
                                                    <w:div w:id="788083435">
                                                      <w:marLeft w:val="0"/>
                                                      <w:marRight w:val="0"/>
                                                      <w:marTop w:val="0"/>
                                                      <w:marBottom w:val="0"/>
                                                      <w:divBdr>
                                                        <w:top w:val="none" w:sz="0" w:space="0" w:color="auto"/>
                                                        <w:left w:val="none" w:sz="0" w:space="0" w:color="auto"/>
                                                        <w:bottom w:val="none" w:sz="0" w:space="0" w:color="auto"/>
                                                        <w:right w:val="none" w:sz="0" w:space="0" w:color="auto"/>
                                                      </w:divBdr>
                                                    </w:div>
                                                    <w:div w:id="1794246611">
                                                      <w:marLeft w:val="0"/>
                                                      <w:marRight w:val="0"/>
                                                      <w:marTop w:val="0"/>
                                                      <w:marBottom w:val="0"/>
                                                      <w:divBdr>
                                                        <w:top w:val="none" w:sz="0" w:space="0" w:color="auto"/>
                                                        <w:left w:val="none" w:sz="0" w:space="0" w:color="auto"/>
                                                        <w:bottom w:val="none" w:sz="0" w:space="0" w:color="auto"/>
                                                        <w:right w:val="none" w:sz="0" w:space="0" w:color="auto"/>
                                                      </w:divBdr>
                                                    </w:div>
                                                  </w:divsChild>
                                                </w:div>
                                                <w:div w:id="1583762151">
                                                  <w:marLeft w:val="0"/>
                                                  <w:marRight w:val="0"/>
                                                  <w:marTop w:val="0"/>
                                                  <w:marBottom w:val="0"/>
                                                  <w:divBdr>
                                                    <w:top w:val="none" w:sz="0" w:space="0" w:color="auto"/>
                                                    <w:left w:val="none" w:sz="0" w:space="0" w:color="auto"/>
                                                    <w:bottom w:val="none" w:sz="0" w:space="0" w:color="auto"/>
                                                    <w:right w:val="none" w:sz="0" w:space="0" w:color="auto"/>
                                                  </w:divBdr>
                                                  <w:divsChild>
                                                    <w:div w:id="16013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9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g1wordpress01/wordpress/wp-content/uploads/2016/06/Blood-Transfusion-Adul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h.org.uk/guidelines/guidelines/red-cell-transfusion-in-sickle-cell-disease-part-l/" TargetMode="External"/><Relationship Id="rId5" Type="http://schemas.openxmlformats.org/officeDocument/2006/relationships/settings" Target="settings.xml"/><Relationship Id="rId15" Type="http://schemas.openxmlformats.org/officeDocument/2006/relationships/hyperlink" Target="https://b-s-h.org.uk/guidelines/guidelines/red-cell-transfusion-in-sickle-cell-disease-part-l/" TargetMode="External"/><Relationship Id="rId10" Type="http://schemas.openxmlformats.org/officeDocument/2006/relationships/hyperlink" Target="https://www.sicklecellsociety.org/wp-content/uploads/2018/04/Web-version-FINAL-SCS-Standards-GSM-6.4.18.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icklecellsociety.org/wp-content/uploads/2018/04/Web-version-FINAL-SCS-Standards-GSM-6.4.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CF70-CABD-4994-84EB-E18102B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Sumiya Ahmad</dc:creator>
  <cp:lastModifiedBy>Elizabeth Rhodes</cp:lastModifiedBy>
  <cp:revision>3</cp:revision>
  <cp:lastPrinted>2017-03-14T17:59:00Z</cp:lastPrinted>
  <dcterms:created xsi:type="dcterms:W3CDTF">2020-02-24T17:22:00Z</dcterms:created>
  <dcterms:modified xsi:type="dcterms:W3CDTF">2020-02-26T09:51:00Z</dcterms:modified>
</cp:coreProperties>
</file>