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32" w:rsidRDefault="00FC5932" w:rsidP="00937BAF">
      <w:pPr>
        <w:pStyle w:val="BodyText"/>
        <w:kinsoku w:val="0"/>
        <w:overflowPunct w:val="0"/>
        <w:spacing w:before="196"/>
        <w:ind w:left="-1701" w:right="1665"/>
        <w:rPr>
          <w:sz w:val="32"/>
          <w:szCs w:val="32"/>
        </w:rPr>
        <w:sectPr w:rsidR="00FC5932">
          <w:headerReference w:type="default" r:id="rId9"/>
          <w:pgSz w:w="11900" w:h="16840"/>
          <w:pgMar w:top="1320" w:right="980" w:bottom="1060" w:left="1220" w:header="0" w:footer="878" w:gutter="0"/>
          <w:cols w:num="2" w:space="720" w:equalWidth="0">
            <w:col w:w="1807" w:space="2"/>
            <w:col w:w="7891"/>
          </w:cols>
          <w:noEndnote/>
        </w:sectPr>
      </w:pPr>
    </w:p>
    <w:p w:rsidR="00FC5932" w:rsidRDefault="00FC5932" w:rsidP="00FC5932">
      <w:pPr>
        <w:pStyle w:val="BodyText"/>
        <w:kinsoku w:val="0"/>
        <w:overflowPunct w:val="0"/>
        <w:ind w:left="0"/>
        <w:rPr>
          <w:b/>
          <w:bCs/>
          <w:sz w:val="20"/>
          <w:szCs w:val="20"/>
        </w:rPr>
      </w:pPr>
    </w:p>
    <w:p w:rsidR="00937BAF" w:rsidRPr="00937BAF" w:rsidRDefault="00802AE5" w:rsidP="00937BAF">
      <w:pPr>
        <w:jc w:val="center"/>
        <w:rPr>
          <w:rFonts w:ascii="Arial" w:hAnsi="Arial" w:cs="Arial"/>
          <w:b/>
          <w:sz w:val="32"/>
          <w:szCs w:val="32"/>
        </w:rPr>
      </w:pPr>
      <w:r>
        <w:rPr>
          <w:rFonts w:ascii="Arial" w:hAnsi="Arial" w:cs="Arial"/>
          <w:b/>
          <w:sz w:val="32"/>
          <w:szCs w:val="32"/>
        </w:rPr>
        <w:t xml:space="preserve">Blood transfusion </w:t>
      </w:r>
      <w:r w:rsidR="00E72B69">
        <w:rPr>
          <w:rFonts w:ascii="Arial" w:hAnsi="Arial" w:cs="Arial"/>
          <w:b/>
          <w:sz w:val="32"/>
          <w:szCs w:val="32"/>
        </w:rPr>
        <w:t xml:space="preserve">in </w:t>
      </w:r>
      <w:proofErr w:type="gramStart"/>
      <w:r w:rsidR="00E72B69">
        <w:rPr>
          <w:rFonts w:ascii="Arial" w:hAnsi="Arial" w:cs="Arial"/>
          <w:b/>
          <w:sz w:val="32"/>
          <w:szCs w:val="32"/>
        </w:rPr>
        <w:t>patients</w:t>
      </w:r>
      <w:proofErr w:type="gramEnd"/>
      <w:r w:rsidR="00E72B69">
        <w:rPr>
          <w:rFonts w:ascii="Arial" w:hAnsi="Arial" w:cs="Arial"/>
          <w:b/>
          <w:sz w:val="32"/>
          <w:szCs w:val="32"/>
        </w:rPr>
        <w:t xml:space="preserve"> </w:t>
      </w:r>
      <w:proofErr w:type="spellStart"/>
      <w:r w:rsidR="00E72B69">
        <w:rPr>
          <w:rFonts w:ascii="Arial" w:hAnsi="Arial" w:cs="Arial"/>
          <w:b/>
          <w:sz w:val="32"/>
          <w:szCs w:val="32"/>
        </w:rPr>
        <w:t>with</w:t>
      </w:r>
      <w:r>
        <w:rPr>
          <w:rFonts w:ascii="Arial" w:hAnsi="Arial" w:cs="Arial"/>
          <w:b/>
          <w:sz w:val="32"/>
          <w:szCs w:val="32"/>
        </w:rPr>
        <w:t>Thalassaemia</w:t>
      </w:r>
      <w:proofErr w:type="spellEnd"/>
    </w:p>
    <w:p w:rsidR="00937BAF" w:rsidRDefault="00937BAF" w:rsidP="00FC5932">
      <w:pPr>
        <w:pStyle w:val="BodyText"/>
        <w:kinsoku w:val="0"/>
        <w:overflowPunct w:val="0"/>
        <w:ind w:left="0"/>
        <w:rPr>
          <w:b/>
          <w:bCs/>
          <w:sz w:val="20"/>
          <w:szCs w:val="20"/>
        </w:rPr>
      </w:pPr>
    </w:p>
    <w:p w:rsidR="00937BAF" w:rsidRDefault="00937BAF" w:rsidP="00FC5932">
      <w:pPr>
        <w:pStyle w:val="BodyText"/>
        <w:kinsoku w:val="0"/>
        <w:overflowPunct w:val="0"/>
        <w:ind w:left="0"/>
        <w:rPr>
          <w:b/>
          <w:bCs/>
          <w:sz w:val="20"/>
          <w:szCs w:val="20"/>
        </w:rPr>
      </w:pPr>
    </w:p>
    <w:p w:rsidR="00FC5932" w:rsidRDefault="00FC5932" w:rsidP="00FC5932">
      <w:pPr>
        <w:pStyle w:val="BodyText"/>
        <w:kinsoku w:val="0"/>
        <w:overflowPunct w:val="0"/>
        <w:spacing w:before="9"/>
        <w:ind w:left="0"/>
        <w:rPr>
          <w:b/>
          <w:bCs/>
          <w:sz w:val="20"/>
          <w:szCs w:val="20"/>
        </w:rPr>
      </w:pPr>
    </w:p>
    <w:p w:rsidR="00FC5932" w:rsidRDefault="00FC5932" w:rsidP="00FC5932">
      <w:pPr>
        <w:pStyle w:val="BodyText"/>
        <w:kinsoku w:val="0"/>
        <w:overflowPunct w:val="0"/>
        <w:spacing w:before="11"/>
        <w:ind w:left="0"/>
        <w:rPr>
          <w:i/>
          <w:iCs/>
          <w:sz w:val="16"/>
          <w:szCs w:val="16"/>
        </w:rPr>
      </w:pPr>
    </w:p>
    <w:tbl>
      <w:tblPr>
        <w:tblW w:w="0" w:type="auto"/>
        <w:tblInd w:w="220" w:type="dxa"/>
        <w:tblLayout w:type="fixed"/>
        <w:tblCellMar>
          <w:left w:w="0" w:type="dxa"/>
          <w:right w:w="0" w:type="dxa"/>
        </w:tblCellMar>
        <w:tblLook w:val="0000" w:firstRow="0" w:lastRow="0" w:firstColumn="0" w:lastColumn="0" w:noHBand="0" w:noVBand="0"/>
      </w:tblPr>
      <w:tblGrid>
        <w:gridCol w:w="3420"/>
        <w:gridCol w:w="5940"/>
      </w:tblGrid>
      <w:tr w:rsidR="00FC5932">
        <w:trPr>
          <w:trHeight w:hRule="exact" w:val="302"/>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Profile</w:t>
            </w:r>
          </w:p>
        </w:tc>
      </w:tr>
      <w:tr w:rsidR="00937BAF">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right="101"/>
              <w:jc w:val="right"/>
            </w:pPr>
            <w:r>
              <w:rPr>
                <w:rFonts w:ascii="Arial" w:hAnsi="Arial" w:cs="Arial"/>
                <w:b/>
                <w:bCs/>
                <w:w w:val="95"/>
                <w:sz w:val="22"/>
                <w:szCs w:val="22"/>
              </w:rPr>
              <w:t>Version:</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0A3A89">
            <w:pPr>
              <w:pStyle w:val="TableParagraph"/>
              <w:kinsoku w:val="0"/>
              <w:overflowPunct w:val="0"/>
              <w:ind w:left="103"/>
            </w:pPr>
            <w:r>
              <w:rPr>
                <w:rFonts w:ascii="Arial" w:hAnsi="Arial" w:cs="Arial"/>
                <w:i/>
                <w:iCs/>
                <w:sz w:val="22"/>
                <w:szCs w:val="22"/>
              </w:rPr>
              <w:t>V3.</w:t>
            </w:r>
            <w:r w:rsidR="000A3A89">
              <w:rPr>
                <w:rFonts w:ascii="Arial" w:hAnsi="Arial" w:cs="Arial"/>
                <w:i/>
                <w:iCs/>
                <w:sz w:val="22"/>
                <w:szCs w:val="22"/>
              </w:rPr>
              <w:t>1</w:t>
            </w:r>
          </w:p>
        </w:tc>
      </w:tr>
      <w:tr w:rsidR="00937BAF">
        <w:trPr>
          <w:trHeight w:hRule="exact" w:val="627"/>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right="101"/>
              <w:jc w:val="right"/>
            </w:pPr>
            <w:r>
              <w:rPr>
                <w:rFonts w:ascii="Arial" w:hAnsi="Arial" w:cs="Arial"/>
                <w:b/>
                <w:bCs/>
                <w:w w:val="95"/>
                <w:sz w:val="22"/>
                <w:szCs w:val="22"/>
              </w:rPr>
              <w:t>Author:</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rPr>
                <w:rFonts w:ascii="Arial" w:hAnsi="Arial" w:cs="Arial"/>
                <w:i/>
                <w:iCs/>
              </w:rPr>
            </w:pPr>
            <w:r>
              <w:rPr>
                <w:rFonts w:ascii="Arial" w:hAnsi="Arial" w:cs="Arial"/>
                <w:i/>
                <w:iCs/>
                <w:sz w:val="22"/>
                <w:szCs w:val="22"/>
              </w:rPr>
              <w:t>Dr Elizabeth Rhodes, Consultant Haematologist</w:t>
            </w:r>
          </w:p>
          <w:p w:rsidR="00937BAF" w:rsidRDefault="00937BAF" w:rsidP="008F4B2F">
            <w:pPr>
              <w:pStyle w:val="TableParagraph"/>
              <w:kinsoku w:val="0"/>
              <w:overflowPunct w:val="0"/>
              <w:ind w:left="103"/>
            </w:pPr>
            <w:r>
              <w:rPr>
                <w:rFonts w:ascii="Arial" w:hAnsi="Arial" w:cs="Arial"/>
                <w:i/>
                <w:iCs/>
                <w:sz w:val="22"/>
                <w:szCs w:val="22"/>
              </w:rPr>
              <w:t>Dr Julia Sikorska, Consultant Haematologist</w:t>
            </w:r>
          </w:p>
        </w:tc>
      </w:tr>
      <w:tr w:rsidR="00937BAF">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jc w:val="right"/>
            </w:pPr>
            <w:r>
              <w:rPr>
                <w:rFonts w:ascii="Arial" w:hAnsi="Arial" w:cs="Arial"/>
                <w:b/>
                <w:bCs/>
                <w:sz w:val="22"/>
                <w:szCs w:val="22"/>
              </w:rPr>
              <w:t>Executive/Divisional sponsor:</w:t>
            </w:r>
          </w:p>
        </w:tc>
        <w:tc>
          <w:tcPr>
            <w:tcW w:w="5940" w:type="dxa"/>
            <w:tcBorders>
              <w:top w:val="single" w:sz="4" w:space="0" w:color="000000"/>
              <w:left w:val="single" w:sz="4" w:space="0" w:color="000000"/>
              <w:bottom w:val="single" w:sz="4" w:space="0" w:color="000000"/>
              <w:right w:val="single" w:sz="4" w:space="0" w:color="000000"/>
            </w:tcBorders>
          </w:tcPr>
          <w:p w:rsidR="00937BAF" w:rsidRPr="00C2635A" w:rsidRDefault="00937BAF" w:rsidP="008F4B2F">
            <w:pPr>
              <w:pStyle w:val="TableParagraph"/>
              <w:kinsoku w:val="0"/>
              <w:overflowPunct w:val="0"/>
              <w:ind w:left="103"/>
              <w:rPr>
                <w:rFonts w:ascii="Arial" w:hAnsi="Arial" w:cs="Arial"/>
                <w:i/>
              </w:rPr>
            </w:pPr>
            <w:r>
              <w:rPr>
                <w:rFonts w:ascii="Arial" w:hAnsi="Arial" w:cs="Arial"/>
                <w:i/>
                <w:sz w:val="22"/>
                <w:szCs w:val="22"/>
              </w:rPr>
              <w:t>Dr Lisa Pickering, Divisional Chair</w:t>
            </w:r>
            <w:r w:rsidR="00E72B69">
              <w:rPr>
                <w:rFonts w:ascii="Arial" w:hAnsi="Arial" w:cs="Arial"/>
                <w:i/>
                <w:sz w:val="22"/>
                <w:szCs w:val="22"/>
              </w:rPr>
              <w:t xml:space="preserve"> (v3.0 Feb 2019)</w:t>
            </w:r>
          </w:p>
        </w:tc>
      </w:tr>
      <w:tr w:rsidR="00937BAF">
        <w:trPr>
          <w:trHeight w:hRule="exact" w:val="72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546"/>
              <w:jc w:val="right"/>
            </w:pPr>
            <w:r>
              <w:rPr>
                <w:rFonts w:ascii="Arial" w:hAnsi="Arial" w:cs="Arial"/>
                <w:b/>
                <w:bCs/>
                <w:sz w:val="22"/>
                <w:szCs w:val="22"/>
              </w:rPr>
              <w:t>Applies to:</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2934A0">
            <w:pPr>
              <w:pStyle w:val="TableParagraph"/>
              <w:kinsoku w:val="0"/>
              <w:overflowPunct w:val="0"/>
              <w:ind w:left="103"/>
            </w:pPr>
            <w:r>
              <w:rPr>
                <w:rFonts w:ascii="Arial" w:hAnsi="Arial" w:cs="Arial"/>
                <w:i/>
                <w:iCs/>
                <w:sz w:val="22"/>
                <w:szCs w:val="22"/>
              </w:rPr>
              <w:t xml:space="preserve">All staff involved in the care of patients with </w:t>
            </w:r>
            <w:r w:rsidR="002934A0">
              <w:rPr>
                <w:rFonts w:ascii="Arial" w:hAnsi="Arial" w:cs="Arial"/>
                <w:i/>
                <w:iCs/>
                <w:sz w:val="22"/>
                <w:szCs w:val="22"/>
              </w:rPr>
              <w:t>Thalassaemia</w:t>
            </w:r>
          </w:p>
        </w:tc>
      </w:tr>
      <w:tr w:rsidR="00937BAF" w:rsidTr="000A3A89">
        <w:trPr>
          <w:trHeight w:hRule="exact" w:val="563"/>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999"/>
            </w:pPr>
            <w:r>
              <w:rPr>
                <w:rFonts w:ascii="Arial" w:hAnsi="Arial" w:cs="Arial"/>
                <w:b/>
                <w:bCs/>
                <w:sz w:val="22"/>
                <w:szCs w:val="22"/>
              </w:rPr>
              <w:t>Date</w:t>
            </w:r>
            <w:r>
              <w:rPr>
                <w:rFonts w:ascii="Arial" w:hAnsi="Arial" w:cs="Arial"/>
                <w:b/>
                <w:bCs/>
                <w:spacing w:val="-3"/>
                <w:sz w:val="22"/>
                <w:szCs w:val="22"/>
              </w:rPr>
              <w:t xml:space="preserve"> </w:t>
            </w:r>
            <w:r>
              <w:rPr>
                <w:rFonts w:ascii="Arial" w:hAnsi="Arial" w:cs="Arial"/>
                <w:b/>
                <w:bCs/>
                <w:sz w:val="22"/>
                <w:szCs w:val="22"/>
              </w:rPr>
              <w:t>issued:</w:t>
            </w:r>
          </w:p>
        </w:tc>
        <w:tc>
          <w:tcPr>
            <w:tcW w:w="5940" w:type="dxa"/>
            <w:tcBorders>
              <w:top w:val="single" w:sz="4" w:space="0" w:color="000000"/>
              <w:left w:val="single" w:sz="4" w:space="0" w:color="000000"/>
              <w:bottom w:val="single" w:sz="4" w:space="0" w:color="000000"/>
              <w:right w:val="single" w:sz="4" w:space="0" w:color="000000"/>
            </w:tcBorders>
          </w:tcPr>
          <w:p w:rsidR="00937BAF" w:rsidRDefault="000A3A89" w:rsidP="008F4B2F">
            <w:pPr>
              <w:pStyle w:val="TableParagraph"/>
              <w:kinsoku w:val="0"/>
              <w:overflowPunct w:val="0"/>
              <w:ind w:left="103"/>
              <w:rPr>
                <w:rFonts w:ascii="Arial" w:hAnsi="Arial" w:cs="Arial"/>
                <w:i/>
                <w:iCs/>
                <w:sz w:val="22"/>
                <w:szCs w:val="22"/>
              </w:rPr>
            </w:pPr>
            <w:r>
              <w:rPr>
                <w:rFonts w:ascii="Arial" w:hAnsi="Arial" w:cs="Arial"/>
                <w:i/>
                <w:iCs/>
                <w:sz w:val="22"/>
                <w:szCs w:val="22"/>
              </w:rPr>
              <w:t xml:space="preserve">V3.0 </w:t>
            </w:r>
            <w:r w:rsidR="00937BAF">
              <w:rPr>
                <w:rFonts w:ascii="Arial" w:hAnsi="Arial" w:cs="Arial"/>
                <w:i/>
                <w:iCs/>
                <w:sz w:val="22"/>
                <w:szCs w:val="22"/>
              </w:rPr>
              <w:t xml:space="preserve">February 2019 </w:t>
            </w:r>
          </w:p>
          <w:p w:rsidR="000A3A89" w:rsidRDefault="000A3A89" w:rsidP="008F4B2F">
            <w:pPr>
              <w:pStyle w:val="TableParagraph"/>
              <w:kinsoku w:val="0"/>
              <w:overflowPunct w:val="0"/>
              <w:ind w:left="103"/>
            </w:pPr>
            <w:r>
              <w:rPr>
                <w:rFonts w:ascii="Arial" w:hAnsi="Arial" w:cs="Arial"/>
                <w:i/>
                <w:iCs/>
                <w:sz w:val="22"/>
                <w:szCs w:val="22"/>
              </w:rPr>
              <w:t>V3.1 February 2020</w:t>
            </w:r>
          </w:p>
        </w:tc>
      </w:tr>
      <w:tr w:rsidR="00937BAF">
        <w:trPr>
          <w:trHeight w:hRule="exact" w:val="304"/>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962"/>
            </w:pPr>
            <w:r>
              <w:rPr>
                <w:rFonts w:ascii="Arial" w:hAnsi="Arial" w:cs="Arial"/>
                <w:b/>
                <w:bCs/>
                <w:sz w:val="22"/>
                <w:szCs w:val="22"/>
              </w:rPr>
              <w:t>Review</w:t>
            </w:r>
            <w:r>
              <w:rPr>
                <w:rFonts w:ascii="Arial" w:hAnsi="Arial" w:cs="Arial"/>
                <w:b/>
                <w:bCs/>
                <w:spacing w:val="-3"/>
                <w:sz w:val="22"/>
                <w:szCs w:val="22"/>
              </w:rPr>
              <w:t xml:space="preserve"> </w:t>
            </w:r>
            <w:r>
              <w:rPr>
                <w:rFonts w:ascii="Arial" w:hAnsi="Arial" w:cs="Arial"/>
                <w:b/>
                <w:bCs/>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pPr>
            <w:r>
              <w:rPr>
                <w:rFonts w:ascii="Arial" w:hAnsi="Arial" w:cs="Arial"/>
                <w:i/>
                <w:iCs/>
                <w:sz w:val="22"/>
                <w:szCs w:val="22"/>
              </w:rPr>
              <w:t>February 2022</w:t>
            </w:r>
          </w:p>
        </w:tc>
      </w:tr>
      <w:tr w:rsidR="00FC5932">
        <w:trPr>
          <w:trHeight w:hRule="exact" w:val="302"/>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Approval</w:t>
            </w:r>
          </w:p>
        </w:tc>
      </w:tr>
      <w:tr w:rsidR="00FC5932">
        <w:trPr>
          <w:trHeight w:hRule="exact" w:val="304"/>
        </w:trPr>
        <w:tc>
          <w:tcPr>
            <w:tcW w:w="3420"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jc w:val="right"/>
            </w:pPr>
            <w:r>
              <w:rPr>
                <w:rFonts w:ascii="Arial" w:hAnsi="Arial" w:cs="Arial"/>
                <w:b/>
                <w:bCs/>
                <w:sz w:val="22"/>
                <w:szCs w:val="22"/>
              </w:rPr>
              <w:t>Approval</w:t>
            </w:r>
            <w:r>
              <w:rPr>
                <w:rFonts w:ascii="Arial" w:hAnsi="Arial" w:cs="Arial"/>
                <w:b/>
                <w:bCs/>
                <w:spacing w:val="-4"/>
                <w:sz w:val="22"/>
                <w:szCs w:val="22"/>
              </w:rPr>
              <w:t xml:space="preserve"> </w:t>
            </w:r>
            <w:r w:rsidR="0098329C">
              <w:rPr>
                <w:rFonts w:ascii="Arial" w:hAnsi="Arial" w:cs="Arial"/>
                <w:b/>
                <w:bCs/>
                <w:spacing w:val="-4"/>
                <w:sz w:val="22"/>
                <w:szCs w:val="22"/>
              </w:rPr>
              <w:t>person/</w:t>
            </w:r>
            <w:r>
              <w:rPr>
                <w:rFonts w:ascii="Arial" w:hAnsi="Arial" w:cs="Arial"/>
                <w:b/>
                <w:bCs/>
                <w:sz w:val="22"/>
                <w:szCs w:val="22"/>
              </w:rPr>
              <w:t>Committee:</w:t>
            </w:r>
          </w:p>
        </w:tc>
        <w:tc>
          <w:tcPr>
            <w:tcW w:w="5940" w:type="dxa"/>
            <w:tcBorders>
              <w:top w:val="single" w:sz="4" w:space="0" w:color="000000"/>
              <w:left w:val="single" w:sz="4" w:space="0" w:color="000000"/>
              <w:bottom w:val="single" w:sz="4" w:space="0" w:color="000000"/>
              <w:right w:val="single" w:sz="4" w:space="0" w:color="000000"/>
            </w:tcBorders>
          </w:tcPr>
          <w:p w:rsidR="00FC5932" w:rsidRPr="002D16C0" w:rsidRDefault="002D16C0" w:rsidP="0098329C">
            <w:pPr>
              <w:rPr>
                <w:rFonts w:ascii="Arial" w:hAnsi="Arial" w:cs="Arial"/>
                <w:i/>
                <w:sz w:val="22"/>
                <w:szCs w:val="22"/>
              </w:rPr>
            </w:pPr>
            <w:proofErr w:type="spellStart"/>
            <w:r w:rsidRPr="002D16C0">
              <w:rPr>
                <w:rFonts w:ascii="Arial" w:hAnsi="Arial" w:cs="Arial"/>
                <w:i/>
                <w:sz w:val="22"/>
                <w:szCs w:val="22"/>
              </w:rPr>
              <w:t>MedCard</w:t>
            </w:r>
            <w:proofErr w:type="spellEnd"/>
            <w:r w:rsidRPr="002D16C0">
              <w:rPr>
                <w:rFonts w:ascii="Arial" w:hAnsi="Arial" w:cs="Arial"/>
                <w:i/>
                <w:sz w:val="22"/>
                <w:szCs w:val="22"/>
              </w:rPr>
              <w:t xml:space="preserve"> Divisional Governance Board</w:t>
            </w:r>
          </w:p>
        </w:tc>
      </w:tr>
      <w:tr w:rsidR="00FC5932">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ind w:right="101"/>
              <w:jc w:val="right"/>
            </w:pPr>
            <w:r>
              <w:rPr>
                <w:rFonts w:ascii="Arial" w:hAnsi="Arial" w:cs="Arial"/>
                <w:b/>
                <w:bCs/>
                <w:w w:val="95"/>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FC5932" w:rsidRPr="002D16C0" w:rsidRDefault="002D16C0" w:rsidP="0098329C">
            <w:pPr>
              <w:rPr>
                <w:rFonts w:ascii="Arial" w:hAnsi="Arial" w:cs="Arial"/>
                <w:i/>
                <w:sz w:val="22"/>
                <w:szCs w:val="22"/>
              </w:rPr>
            </w:pPr>
            <w:r w:rsidRPr="002D16C0">
              <w:rPr>
                <w:rFonts w:ascii="Arial" w:hAnsi="Arial" w:cs="Arial"/>
                <w:i/>
                <w:sz w:val="22"/>
                <w:szCs w:val="22"/>
              </w:rPr>
              <w:t>14</w:t>
            </w:r>
            <w:r w:rsidRPr="002D16C0">
              <w:rPr>
                <w:rFonts w:ascii="Arial" w:hAnsi="Arial" w:cs="Arial"/>
                <w:i/>
                <w:sz w:val="22"/>
                <w:szCs w:val="22"/>
                <w:vertAlign w:val="superscript"/>
              </w:rPr>
              <w:t>th</w:t>
            </w:r>
            <w:r w:rsidRPr="002D16C0">
              <w:rPr>
                <w:rFonts w:ascii="Arial" w:hAnsi="Arial" w:cs="Arial"/>
                <w:i/>
                <w:sz w:val="22"/>
                <w:szCs w:val="22"/>
              </w:rPr>
              <w:t xml:space="preserve"> February 2019</w:t>
            </w:r>
          </w:p>
        </w:tc>
      </w:tr>
      <w:tr w:rsidR="00E72B69">
        <w:trPr>
          <w:trHeight w:hRule="exact" w:val="302"/>
        </w:trPr>
        <w:tc>
          <w:tcPr>
            <w:tcW w:w="3420" w:type="dxa"/>
            <w:tcBorders>
              <w:top w:val="single" w:sz="4" w:space="0" w:color="000000"/>
              <w:left w:val="single" w:sz="4" w:space="0" w:color="000000"/>
              <w:bottom w:val="single" w:sz="4" w:space="0" w:color="000000"/>
              <w:right w:val="single" w:sz="4" w:space="0" w:color="000000"/>
            </w:tcBorders>
          </w:tcPr>
          <w:tbl>
            <w:tblPr>
              <w:tblW w:w="0" w:type="auto"/>
              <w:tblInd w:w="220" w:type="dxa"/>
              <w:tblLayout w:type="fixed"/>
              <w:tblCellMar>
                <w:left w:w="0" w:type="dxa"/>
                <w:right w:w="0" w:type="dxa"/>
              </w:tblCellMar>
              <w:tblLook w:val="0000" w:firstRow="0" w:lastRow="0" w:firstColumn="0" w:lastColumn="0" w:noHBand="0" w:noVBand="0"/>
            </w:tblPr>
            <w:tblGrid>
              <w:gridCol w:w="3420"/>
            </w:tblGrid>
            <w:tr w:rsidR="00E72B69" w:rsidTr="003320C3">
              <w:trPr>
                <w:trHeight w:hRule="exact" w:val="304"/>
              </w:trPr>
              <w:tc>
                <w:tcPr>
                  <w:tcW w:w="3420" w:type="dxa"/>
                  <w:tcBorders>
                    <w:top w:val="single" w:sz="4" w:space="0" w:color="000000"/>
                    <w:left w:val="single" w:sz="4" w:space="0" w:color="000000"/>
                    <w:bottom w:val="single" w:sz="4" w:space="0" w:color="000000"/>
                    <w:right w:val="single" w:sz="4" w:space="0" w:color="000000"/>
                  </w:tcBorders>
                </w:tcPr>
                <w:p w:rsidR="00E72B69" w:rsidRDefault="00E72B69" w:rsidP="00E72B69">
                  <w:pPr>
                    <w:pStyle w:val="TableParagraph"/>
                    <w:kinsoku w:val="0"/>
                    <w:overflowPunct w:val="0"/>
                    <w:jc w:val="center"/>
                  </w:pPr>
                  <w:r>
                    <w:rPr>
                      <w:rFonts w:ascii="Arial" w:hAnsi="Arial" w:cs="Arial"/>
                      <w:b/>
                      <w:bCs/>
                      <w:sz w:val="22"/>
                      <w:szCs w:val="22"/>
                    </w:rPr>
                    <w:t>Approval</w:t>
                  </w:r>
                  <w:r>
                    <w:rPr>
                      <w:rFonts w:ascii="Arial" w:hAnsi="Arial" w:cs="Arial"/>
                      <w:b/>
                      <w:bCs/>
                      <w:spacing w:val="-4"/>
                      <w:sz w:val="22"/>
                      <w:szCs w:val="22"/>
                    </w:rPr>
                    <w:t xml:space="preserve"> person/</w:t>
                  </w:r>
                  <w:proofErr w:type="spellStart"/>
                  <w:r>
                    <w:rPr>
                      <w:rFonts w:ascii="Arial" w:hAnsi="Arial" w:cs="Arial"/>
                      <w:b/>
                      <w:bCs/>
                      <w:sz w:val="22"/>
                      <w:szCs w:val="22"/>
                    </w:rPr>
                    <w:t>Commite</w:t>
                  </w:r>
                  <w:proofErr w:type="spellEnd"/>
                  <w:r>
                    <w:rPr>
                      <w:rFonts w:ascii="Arial" w:hAnsi="Arial" w:cs="Arial"/>
                      <w:b/>
                      <w:bCs/>
                      <w:sz w:val="22"/>
                      <w:szCs w:val="22"/>
                    </w:rPr>
                    <w:t>:</w:t>
                  </w:r>
                </w:p>
              </w:tc>
            </w:tr>
            <w:tr w:rsidR="00E72B69" w:rsidTr="003320C3">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E72B69" w:rsidRDefault="00E72B69" w:rsidP="003320C3">
                  <w:pPr>
                    <w:pStyle w:val="TableParagraph"/>
                    <w:kinsoku w:val="0"/>
                    <w:overflowPunct w:val="0"/>
                    <w:ind w:right="101"/>
                    <w:jc w:val="right"/>
                  </w:pPr>
                  <w:r>
                    <w:rPr>
                      <w:rFonts w:ascii="Arial" w:hAnsi="Arial" w:cs="Arial"/>
                      <w:b/>
                      <w:bCs/>
                      <w:w w:val="95"/>
                      <w:sz w:val="22"/>
                      <w:szCs w:val="22"/>
                    </w:rPr>
                    <w:t>Date:</w:t>
                  </w:r>
                </w:p>
              </w:tc>
            </w:tr>
          </w:tbl>
          <w:p w:rsidR="00E72B69" w:rsidRDefault="00E72B69" w:rsidP="0098329C">
            <w:pPr>
              <w:pStyle w:val="TableParagraph"/>
              <w:kinsoku w:val="0"/>
              <w:overflowPunct w:val="0"/>
              <w:ind w:right="101"/>
              <w:jc w:val="right"/>
              <w:rPr>
                <w:rFonts w:ascii="Arial" w:hAnsi="Arial" w:cs="Arial"/>
                <w:b/>
                <w:bCs/>
                <w:w w:val="95"/>
                <w:sz w:val="22"/>
                <w:szCs w:val="22"/>
              </w:rPr>
            </w:pPr>
          </w:p>
        </w:tc>
        <w:tc>
          <w:tcPr>
            <w:tcW w:w="5940" w:type="dxa"/>
            <w:tcBorders>
              <w:top w:val="single" w:sz="4" w:space="0" w:color="000000"/>
              <w:left w:val="single" w:sz="4" w:space="0" w:color="000000"/>
              <w:bottom w:val="single" w:sz="4" w:space="0" w:color="000000"/>
              <w:right w:val="single" w:sz="4" w:space="0" w:color="000000"/>
            </w:tcBorders>
          </w:tcPr>
          <w:p w:rsidR="00E72B69" w:rsidRPr="002D16C0" w:rsidRDefault="00E72B69" w:rsidP="0098329C">
            <w:pPr>
              <w:rPr>
                <w:rFonts w:ascii="Arial" w:hAnsi="Arial" w:cs="Arial"/>
                <w:i/>
                <w:sz w:val="22"/>
                <w:szCs w:val="22"/>
              </w:rPr>
            </w:pPr>
            <w:r>
              <w:rPr>
                <w:rFonts w:ascii="Arial" w:hAnsi="Arial" w:cs="Arial"/>
                <w:i/>
                <w:sz w:val="22"/>
                <w:szCs w:val="22"/>
              </w:rPr>
              <w:t>Hospital Transfusion Committee</w:t>
            </w:r>
          </w:p>
        </w:tc>
      </w:tr>
      <w:tr w:rsidR="00E72B69">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E72B69" w:rsidRDefault="00E72B69" w:rsidP="003320C3">
            <w:pPr>
              <w:pStyle w:val="TableParagraph"/>
              <w:kinsoku w:val="0"/>
              <w:overflowPunct w:val="0"/>
              <w:ind w:right="101"/>
              <w:jc w:val="right"/>
            </w:pPr>
            <w:r>
              <w:rPr>
                <w:rFonts w:ascii="Arial" w:hAnsi="Arial" w:cs="Arial"/>
                <w:b/>
                <w:bCs/>
                <w:w w:val="95"/>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E72B69" w:rsidRPr="002D16C0" w:rsidRDefault="00E72B69" w:rsidP="0098329C">
            <w:pPr>
              <w:rPr>
                <w:rFonts w:ascii="Arial" w:hAnsi="Arial" w:cs="Arial"/>
                <w:i/>
                <w:sz w:val="22"/>
                <w:szCs w:val="22"/>
              </w:rPr>
            </w:pPr>
            <w:r>
              <w:rPr>
                <w:rFonts w:ascii="Arial" w:hAnsi="Arial" w:cs="Arial"/>
                <w:i/>
                <w:sz w:val="22"/>
                <w:szCs w:val="22"/>
              </w:rPr>
              <w:t xml:space="preserve">March 2020 </w:t>
            </w:r>
          </w:p>
        </w:tc>
      </w:tr>
    </w:tbl>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11"/>
        <w:ind w:left="0"/>
        <w:rPr>
          <w:i/>
          <w:iCs/>
          <w:sz w:val="29"/>
          <w:szCs w:val="29"/>
        </w:rPr>
      </w:pPr>
    </w:p>
    <w:p w:rsidR="00FC5932" w:rsidRDefault="00FC5932" w:rsidP="00FC5932">
      <w:pPr>
        <w:sectPr w:rsidR="00FC5932">
          <w:type w:val="continuous"/>
          <w:pgSz w:w="11900" w:h="16840"/>
          <w:pgMar w:top="1360" w:right="980" w:bottom="1080" w:left="1220" w:header="720" w:footer="720" w:gutter="0"/>
          <w:cols w:space="720" w:equalWidth="0">
            <w:col w:w="9700"/>
          </w:cols>
          <w:noEndnote/>
        </w:sectPr>
      </w:pPr>
    </w:p>
    <w:p w:rsidR="00FC5932" w:rsidRDefault="00FC5932" w:rsidP="00FC5932">
      <w:pPr>
        <w:pStyle w:val="Heading1"/>
        <w:kinsoku w:val="0"/>
        <w:overflowPunct w:val="0"/>
        <w:spacing w:before="37"/>
        <w:ind w:right="873"/>
        <w:rPr>
          <w:b w:val="0"/>
          <w:bCs w:val="0"/>
          <w:u w:val="none"/>
        </w:rPr>
      </w:pPr>
      <w:r>
        <w:rPr>
          <w:u w:val="none"/>
        </w:rPr>
        <w:lastRenderedPageBreak/>
        <w:t>Contents</w:t>
      </w:r>
    </w:p>
    <w:p w:rsidR="00FC5932" w:rsidRDefault="00FC5932" w:rsidP="00FC5932">
      <w:pPr>
        <w:pStyle w:val="BodyText"/>
        <w:kinsoku w:val="0"/>
        <w:overflowPunct w:val="0"/>
        <w:ind w:left="0"/>
        <w:rPr>
          <w:b/>
          <w:bCs/>
          <w:sz w:val="20"/>
          <w:szCs w:val="20"/>
        </w:rPr>
      </w:pPr>
    </w:p>
    <w:p w:rsidR="00FC5932" w:rsidRDefault="00FC5932" w:rsidP="00FC5932">
      <w:pPr>
        <w:pStyle w:val="BodyText"/>
        <w:kinsoku w:val="0"/>
        <w:overflowPunct w:val="0"/>
        <w:spacing w:before="1"/>
        <w:ind w:left="0"/>
        <w:rPr>
          <w:b/>
          <w:bCs/>
          <w:sz w:val="29"/>
          <w:szCs w:val="29"/>
        </w:rPr>
      </w:pPr>
    </w:p>
    <w:tbl>
      <w:tblPr>
        <w:tblW w:w="0" w:type="auto"/>
        <w:tblInd w:w="473" w:type="dxa"/>
        <w:tblLayout w:type="fixed"/>
        <w:tblCellMar>
          <w:left w:w="0" w:type="dxa"/>
          <w:right w:w="0" w:type="dxa"/>
        </w:tblCellMar>
        <w:tblLook w:val="0000" w:firstRow="0" w:lastRow="0" w:firstColumn="0" w:lastColumn="0" w:noHBand="0" w:noVBand="0"/>
      </w:tblPr>
      <w:tblGrid>
        <w:gridCol w:w="813"/>
        <w:gridCol w:w="6480"/>
        <w:gridCol w:w="986"/>
      </w:tblGrid>
      <w:tr w:rsidR="00FC5932">
        <w:trPr>
          <w:trHeight w:hRule="exact" w:val="438"/>
        </w:trPr>
        <w:tc>
          <w:tcPr>
            <w:tcW w:w="7293" w:type="dxa"/>
            <w:gridSpan w:val="2"/>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87"/>
              <w:ind w:left="103"/>
            </w:pPr>
            <w:r>
              <w:rPr>
                <w:rFonts w:ascii="Arial" w:hAnsi="Arial" w:cs="Arial"/>
                <w:b/>
                <w:bCs/>
                <w:sz w:val="22"/>
                <w:szCs w:val="22"/>
              </w:rPr>
              <w:t>Paragraph</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87"/>
              <w:ind w:left="225"/>
            </w:pPr>
            <w:r>
              <w:rPr>
                <w:rFonts w:ascii="Arial" w:hAnsi="Arial" w:cs="Arial"/>
                <w:b/>
                <w:bCs/>
                <w:sz w:val="22"/>
                <w:szCs w:val="22"/>
              </w:rPr>
              <w:t>Page</w:t>
            </w:r>
          </w:p>
        </w:tc>
      </w:tr>
      <w:tr w:rsidR="00FC5932">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C5932" w:rsidRDefault="00FC5932" w:rsidP="0098329C"/>
        </w:tc>
        <w:tc>
          <w:tcPr>
            <w:tcW w:w="6480" w:type="dxa"/>
            <w:tcBorders>
              <w:top w:val="single" w:sz="4" w:space="0" w:color="000000"/>
              <w:left w:val="single" w:sz="4" w:space="0" w:color="000000"/>
              <w:bottom w:val="single" w:sz="4" w:space="0" w:color="000000"/>
              <w:right w:val="single" w:sz="4" w:space="0" w:color="000000"/>
            </w:tcBorders>
          </w:tcPr>
          <w:p w:rsidR="00FC5932" w:rsidRPr="00F22E20" w:rsidRDefault="00FC5932" w:rsidP="0098329C">
            <w:pPr>
              <w:pStyle w:val="TableParagraph"/>
              <w:kinsoku w:val="0"/>
              <w:overflowPunct w:val="0"/>
              <w:spacing w:before="38"/>
              <w:ind w:left="103"/>
              <w:rPr>
                <w:rFonts w:ascii="Arial" w:hAnsi="Arial" w:cs="Arial"/>
              </w:rPr>
            </w:pPr>
            <w:r w:rsidRPr="00F22E20">
              <w:rPr>
                <w:rFonts w:ascii="Arial" w:hAnsi="Arial" w:cs="Arial"/>
                <w:sz w:val="22"/>
                <w:szCs w:val="22"/>
              </w:rPr>
              <w:t>Executive</w:t>
            </w:r>
            <w:r w:rsidRPr="00F22E20">
              <w:rPr>
                <w:rFonts w:ascii="Arial" w:hAnsi="Arial" w:cs="Arial"/>
                <w:spacing w:val="-4"/>
                <w:sz w:val="22"/>
                <w:szCs w:val="22"/>
              </w:rPr>
              <w:t xml:space="preserve"> </w:t>
            </w:r>
            <w:r w:rsidRPr="00F22E20">
              <w:rPr>
                <w:rFonts w:ascii="Arial" w:hAnsi="Arial" w:cs="Arial"/>
                <w:sz w:val="22"/>
                <w:szCs w:val="22"/>
              </w:rPr>
              <w:t>Summary</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tc>
      </w:tr>
      <w:tr w:rsidR="00FC5932">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38"/>
              <w:ind w:right="1"/>
              <w:jc w:val="center"/>
            </w:pPr>
          </w:p>
        </w:tc>
        <w:tc>
          <w:tcPr>
            <w:tcW w:w="6480" w:type="dxa"/>
            <w:tcBorders>
              <w:top w:val="single" w:sz="4" w:space="0" w:color="000000"/>
              <w:left w:val="single" w:sz="4" w:space="0" w:color="000000"/>
              <w:bottom w:val="single" w:sz="4" w:space="0" w:color="000000"/>
              <w:right w:val="single" w:sz="4" w:space="0" w:color="000000"/>
            </w:tcBorders>
          </w:tcPr>
          <w:p w:rsidR="00FC5932" w:rsidRPr="00F22E20" w:rsidRDefault="00F22E20" w:rsidP="0098329C">
            <w:pPr>
              <w:pStyle w:val="TableParagraph"/>
              <w:kinsoku w:val="0"/>
              <w:overflowPunct w:val="0"/>
              <w:spacing w:before="38"/>
              <w:ind w:left="103"/>
              <w:rPr>
                <w:rFonts w:ascii="Arial" w:hAnsi="Arial" w:cs="Arial"/>
              </w:rPr>
            </w:pPr>
            <w:r w:rsidRPr="00F22E20">
              <w:rPr>
                <w:rFonts w:ascii="Arial" w:hAnsi="Arial" w:cs="Arial"/>
                <w:sz w:val="22"/>
              </w:rPr>
              <w:t>Policy Gateway</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1</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Intro</w:t>
            </w:r>
            <w:r w:rsidRPr="00F22E20">
              <w:rPr>
                <w:rFonts w:ascii="Arial" w:hAnsi="Arial" w:cs="Arial"/>
                <w:sz w:val="22"/>
                <w:szCs w:val="22"/>
              </w:rPr>
              <w:t>d</w:t>
            </w:r>
            <w:r>
              <w:rPr>
                <w:rFonts w:ascii="Arial" w:hAnsi="Arial" w:cs="Arial"/>
                <w:sz w:val="22"/>
                <w:szCs w:val="22"/>
              </w:rPr>
              <w:t>uction</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2</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Purpose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3</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Definitions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4</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Scope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5</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Roles and</w:t>
            </w:r>
            <w:r>
              <w:rPr>
                <w:rFonts w:ascii="Arial" w:hAnsi="Arial" w:cs="Arial"/>
                <w:spacing w:val="-7"/>
                <w:sz w:val="22"/>
                <w:szCs w:val="22"/>
              </w:rPr>
              <w:t xml:space="preserve"> </w:t>
            </w:r>
            <w:r>
              <w:rPr>
                <w:rFonts w:ascii="Arial" w:hAnsi="Arial" w:cs="Arial"/>
                <w:sz w:val="22"/>
                <w:szCs w:val="22"/>
              </w:rPr>
              <w:t>responsibilities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6</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Other headings as</w:t>
            </w:r>
            <w:r>
              <w:rPr>
                <w:rFonts w:ascii="Arial" w:hAnsi="Arial" w:cs="Arial"/>
                <w:spacing w:val="-8"/>
                <w:sz w:val="22"/>
                <w:szCs w:val="22"/>
              </w:rPr>
              <w:t xml:space="preserve"> </w:t>
            </w:r>
            <w:r>
              <w:rPr>
                <w:rFonts w:ascii="Arial" w:hAnsi="Arial" w:cs="Arial"/>
                <w:sz w:val="22"/>
                <w:szCs w:val="22"/>
              </w:rPr>
              <w:t>appropriate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7</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2"/>
            </w:pPr>
            <w:r>
              <w:rPr>
                <w:rFonts w:ascii="Arial" w:hAnsi="Arial" w:cs="Arial"/>
                <w:sz w:val="22"/>
                <w:szCs w:val="22"/>
              </w:rPr>
              <w:t>Implementation and</w:t>
            </w:r>
            <w:r>
              <w:rPr>
                <w:rFonts w:ascii="Arial" w:hAnsi="Arial" w:cs="Arial"/>
                <w:spacing w:val="-5"/>
                <w:sz w:val="22"/>
                <w:szCs w:val="22"/>
              </w:rPr>
              <w:t xml:space="preserve"> </w:t>
            </w:r>
            <w:r>
              <w:rPr>
                <w:rFonts w:ascii="Arial" w:hAnsi="Arial" w:cs="Arial"/>
                <w:sz w:val="22"/>
                <w:szCs w:val="22"/>
              </w:rPr>
              <w:t>dissemination</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8</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Monitoring</w:t>
            </w:r>
            <w:r>
              <w:rPr>
                <w:rFonts w:ascii="Arial" w:hAnsi="Arial" w:cs="Arial"/>
                <w:spacing w:val="-4"/>
                <w:sz w:val="22"/>
                <w:szCs w:val="22"/>
              </w:rPr>
              <w:t xml:space="preserve"> </w:t>
            </w:r>
            <w:r>
              <w:rPr>
                <w:rFonts w:ascii="Arial" w:hAnsi="Arial" w:cs="Arial"/>
                <w:sz w:val="22"/>
                <w:szCs w:val="22"/>
              </w:rPr>
              <w:t>compliance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9</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Associated</w:t>
            </w:r>
            <w:r>
              <w:rPr>
                <w:rFonts w:ascii="Arial" w:hAnsi="Arial" w:cs="Arial"/>
                <w:spacing w:val="-5"/>
                <w:sz w:val="22"/>
                <w:szCs w:val="22"/>
              </w:rPr>
              <w:t xml:space="preserve"> </w:t>
            </w:r>
            <w:r>
              <w:rPr>
                <w:rFonts w:ascii="Arial" w:hAnsi="Arial" w:cs="Arial"/>
                <w:sz w:val="22"/>
                <w:szCs w:val="22"/>
              </w:rPr>
              <w:t>documents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sz w:val="22"/>
                <w:szCs w:val="22"/>
              </w:rPr>
              <w:t>10</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2"/>
            </w:pPr>
            <w:r>
              <w:rPr>
                <w:rFonts w:ascii="Arial" w:hAnsi="Arial" w:cs="Arial"/>
                <w:sz w:val="22"/>
                <w:szCs w:val="22"/>
              </w:rPr>
              <w:t>References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bl>
    <w:p w:rsidR="00F22E20" w:rsidRDefault="00F22E20" w:rsidP="00FC5932"/>
    <w:p w:rsidR="00F22E20" w:rsidRDefault="00F22E20">
      <w:pPr>
        <w:widowControl/>
        <w:autoSpaceDE/>
        <w:autoSpaceDN/>
        <w:adjustRightInd/>
        <w:spacing w:after="200" w:line="276" w:lineRule="auto"/>
      </w:pPr>
      <w:r>
        <w:br w:type="page"/>
      </w:r>
    </w:p>
    <w:p w:rsidR="00FC5932" w:rsidRDefault="00FC5932" w:rsidP="00FC5932">
      <w:pPr>
        <w:sectPr w:rsidR="00FC5932">
          <w:pgSz w:w="11900" w:h="16840"/>
          <w:pgMar w:top="1400" w:right="1680" w:bottom="1060" w:left="1340" w:header="0" w:footer="878" w:gutter="0"/>
          <w:cols w:space="720" w:equalWidth="0">
            <w:col w:w="8880"/>
          </w:cols>
          <w:noEndnote/>
        </w:sectPr>
      </w:pPr>
    </w:p>
    <w:p w:rsidR="00F22E20" w:rsidRPr="00746254" w:rsidRDefault="00F22E20">
      <w:pPr>
        <w:widowControl/>
        <w:autoSpaceDE/>
        <w:autoSpaceDN/>
        <w:adjustRightInd/>
        <w:spacing w:after="200" w:line="276" w:lineRule="auto"/>
        <w:rPr>
          <w:rFonts w:ascii="Arial" w:hAnsi="Arial" w:cs="Arial"/>
          <w:b/>
          <w:bCs/>
          <w:sz w:val="26"/>
          <w:szCs w:val="26"/>
        </w:rPr>
      </w:pPr>
      <w:r w:rsidRPr="00746254">
        <w:rPr>
          <w:rFonts w:ascii="Arial" w:hAnsi="Arial" w:cs="Arial"/>
          <w:b/>
          <w:bCs/>
          <w:sz w:val="26"/>
          <w:szCs w:val="26"/>
        </w:rPr>
        <w:lastRenderedPageBreak/>
        <w:t>Policy Gateway</w:t>
      </w:r>
    </w:p>
    <w:p w:rsidR="00746254" w:rsidRDefault="00746254">
      <w:pPr>
        <w:widowControl/>
        <w:autoSpaceDE/>
        <w:autoSpaceDN/>
        <w:adjustRightInd/>
        <w:spacing w:after="200" w:line="276" w:lineRule="auto"/>
        <w:rPr>
          <w:rFonts w:ascii="Arial" w:hAnsi="Arial" w:cs="Arial"/>
          <w:bCs/>
          <w:szCs w:val="26"/>
        </w:rPr>
      </w:pPr>
      <w:r w:rsidRPr="00746254">
        <w:rPr>
          <w:rFonts w:ascii="Arial" w:hAnsi="Arial" w:cs="Arial"/>
          <w:bCs/>
          <w:szCs w:val="26"/>
        </w:rPr>
        <w:t>Please complete the checklist and tables below to provide assurance around the policy review process</w:t>
      </w:r>
      <w:r>
        <w:rPr>
          <w:rFonts w:ascii="Arial" w:hAnsi="Arial" w:cs="Arial"/>
          <w:bCs/>
          <w:szCs w:val="26"/>
        </w:rPr>
        <w:t>.</w:t>
      </w:r>
    </w:p>
    <w:p w:rsidR="00746254" w:rsidRPr="00BC7323" w:rsidRDefault="00746254" w:rsidP="00746254">
      <w:pPr>
        <w:rPr>
          <w:rFonts w:asciiTheme="minorHAnsi" w:hAnsiTheme="minorHAnsi" w:cs="Andalus"/>
        </w:rPr>
      </w:pPr>
    </w:p>
    <w:tbl>
      <w:tblPr>
        <w:tblW w:w="9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8"/>
      </w:tblGrid>
      <w:tr w:rsidR="00746254" w:rsidRPr="00BC7323">
        <w:trPr>
          <w:trHeight w:val="2847"/>
        </w:trPr>
        <w:tc>
          <w:tcPr>
            <w:tcW w:w="9478" w:type="dxa"/>
          </w:tcPr>
          <w:p w:rsidR="00746254" w:rsidRDefault="00746254" w:rsidP="00DA1DCF">
            <w:pPr>
              <w:rPr>
                <w:rFonts w:ascii="Arial" w:hAnsi="Arial" w:cs="Arial"/>
              </w:rPr>
            </w:pPr>
          </w:p>
          <w:p w:rsidR="00746254" w:rsidRPr="00746254" w:rsidRDefault="000F0966" w:rsidP="00DA1DCF">
            <w:pPr>
              <w:rPr>
                <w:rFonts w:ascii="Arial" w:hAnsi="Arial" w:cs="Arial"/>
              </w:rPr>
            </w:pPr>
            <w:sdt>
              <w:sdtPr>
                <w:rPr>
                  <w:rFonts w:ascii="Arial" w:hAnsi="Arial" w:cs="Arial"/>
                  <w:sz w:val="22"/>
                </w:rPr>
                <w:id w:val="-440305317"/>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w:t>
            </w:r>
            <w:r w:rsidR="00746254" w:rsidRPr="00746254">
              <w:rPr>
                <w:rFonts w:ascii="Arial" w:hAnsi="Arial" w:cs="Arial"/>
                <w:sz w:val="22"/>
              </w:rPr>
              <w:t xml:space="preserve"> </w:t>
            </w:r>
            <w:r w:rsidR="00746254">
              <w:rPr>
                <w:rFonts w:ascii="Arial" w:hAnsi="Arial" w:cs="Arial"/>
                <w:sz w:val="22"/>
              </w:rPr>
              <w:t>involved everyone who should be consulted about this policy/guidance</w:t>
            </w:r>
          </w:p>
          <w:p w:rsidR="00746254" w:rsidRPr="00746254" w:rsidRDefault="00746254" w:rsidP="00DA1DCF">
            <w:pPr>
              <w:pStyle w:val="ListParagraph"/>
              <w:ind w:left="360"/>
              <w:rPr>
                <w:rFonts w:ascii="Arial" w:hAnsi="Arial" w:cs="Arial"/>
              </w:rPr>
            </w:pPr>
          </w:p>
          <w:p w:rsidR="00746254" w:rsidRPr="00746254" w:rsidRDefault="000F0966" w:rsidP="00DA1DCF">
            <w:pPr>
              <w:rPr>
                <w:rFonts w:ascii="Arial" w:hAnsi="Arial" w:cs="Arial"/>
              </w:rPr>
            </w:pPr>
            <w:sdt>
              <w:sdtPr>
                <w:rPr>
                  <w:rFonts w:ascii="Arial" w:hAnsi="Arial" w:cs="Arial"/>
                  <w:sz w:val="22"/>
                </w:rPr>
                <w:id w:val="-682132006"/>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identified the</w:t>
            </w:r>
            <w:r w:rsidR="00746254" w:rsidRPr="00746254">
              <w:rPr>
                <w:rFonts w:ascii="Arial" w:hAnsi="Arial" w:cs="Arial"/>
                <w:sz w:val="22"/>
              </w:rPr>
              <w:t xml:space="preserve"> target audience for </w:t>
            </w:r>
            <w:r w:rsidR="00746254">
              <w:rPr>
                <w:rFonts w:ascii="Arial" w:hAnsi="Arial" w:cs="Arial"/>
                <w:sz w:val="22"/>
              </w:rPr>
              <w:t>this policy/guidance</w:t>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p>
          <w:p w:rsidR="00746254" w:rsidRPr="00746254" w:rsidRDefault="00746254" w:rsidP="00DA1DCF">
            <w:pPr>
              <w:rPr>
                <w:rFonts w:ascii="Arial" w:hAnsi="Arial" w:cs="Arial"/>
              </w:rPr>
            </w:pPr>
          </w:p>
          <w:p w:rsidR="00746254" w:rsidRPr="00746254" w:rsidRDefault="000F0966" w:rsidP="00DA1DCF">
            <w:pPr>
              <w:rPr>
                <w:rFonts w:ascii="Arial" w:hAnsi="Arial" w:cs="Arial"/>
              </w:rPr>
            </w:pPr>
            <w:sdt>
              <w:sdtPr>
                <w:rPr>
                  <w:rFonts w:ascii="Arial" w:hAnsi="Arial" w:cs="Arial"/>
                  <w:sz w:val="22"/>
                </w:rPr>
                <w:id w:val="1239756543"/>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completed the correct template fully and properly</w:t>
            </w:r>
          </w:p>
          <w:p w:rsidR="00746254" w:rsidRPr="00746254" w:rsidRDefault="00746254" w:rsidP="00DA1DCF">
            <w:pPr>
              <w:pStyle w:val="ListParagraph"/>
              <w:rPr>
                <w:rFonts w:ascii="Arial" w:hAnsi="Arial" w:cs="Arial"/>
              </w:rPr>
            </w:pPr>
          </w:p>
          <w:p w:rsidR="00746254" w:rsidRPr="00746254" w:rsidRDefault="000F0966" w:rsidP="00DA1DCF">
            <w:pPr>
              <w:rPr>
                <w:rFonts w:ascii="Arial" w:hAnsi="Arial" w:cs="Arial"/>
              </w:rPr>
            </w:pPr>
            <w:sdt>
              <w:sdtPr>
                <w:rPr>
                  <w:rFonts w:ascii="Arial" w:hAnsi="Arial" w:cs="Arial"/>
                  <w:sz w:val="22"/>
                </w:rPr>
                <w:id w:val="-1655520743"/>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identified the correct approval route for this policy/guidance</w:t>
            </w:r>
            <w:r w:rsidR="00746254" w:rsidRPr="00746254">
              <w:rPr>
                <w:rFonts w:ascii="Arial" w:hAnsi="Arial" w:cs="Arial"/>
                <w:sz w:val="22"/>
              </w:rPr>
              <w:tab/>
            </w:r>
            <w:r w:rsidR="00746254" w:rsidRPr="00746254">
              <w:rPr>
                <w:rFonts w:ascii="Arial" w:hAnsi="Arial" w:cs="Arial"/>
                <w:sz w:val="22"/>
              </w:rPr>
              <w:tab/>
            </w:r>
          </w:p>
          <w:p w:rsidR="00746254" w:rsidRPr="00746254" w:rsidRDefault="00746254" w:rsidP="00DA1DCF">
            <w:pPr>
              <w:ind w:firstLine="5760"/>
              <w:rPr>
                <w:rFonts w:ascii="Arial" w:hAnsi="Arial" w:cs="Arial"/>
              </w:rPr>
            </w:pPr>
          </w:p>
          <w:p w:rsidR="00746254" w:rsidRPr="00BC7323" w:rsidRDefault="000F0966" w:rsidP="00746254">
            <w:pPr>
              <w:rPr>
                <w:rFonts w:asciiTheme="minorHAnsi" w:hAnsiTheme="minorHAnsi" w:cs="Andalus"/>
              </w:rPr>
            </w:pPr>
            <w:sdt>
              <w:sdtPr>
                <w:rPr>
                  <w:rFonts w:ascii="Arial" w:hAnsi="Arial" w:cs="Arial"/>
                  <w:sz w:val="22"/>
                </w:rPr>
                <w:id w:val="1450054819"/>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 xml:space="preserve">I have saved </w:t>
            </w:r>
            <w:r w:rsidR="00746254" w:rsidRPr="00746254">
              <w:rPr>
                <w:rFonts w:ascii="Arial" w:hAnsi="Arial" w:cs="Arial"/>
                <w:sz w:val="22"/>
              </w:rPr>
              <w:t>a word version of th</w:t>
            </w:r>
            <w:r w:rsidR="00746254">
              <w:rPr>
                <w:rFonts w:ascii="Arial" w:hAnsi="Arial" w:cs="Arial"/>
                <w:sz w:val="22"/>
              </w:rPr>
              <w:t>is</w:t>
            </w:r>
            <w:r w:rsidR="00746254" w:rsidRPr="00746254">
              <w:rPr>
                <w:rFonts w:ascii="Arial" w:hAnsi="Arial" w:cs="Arial"/>
                <w:sz w:val="22"/>
              </w:rPr>
              <w:t xml:space="preserve"> policy</w:t>
            </w:r>
            <w:r w:rsidR="00746254">
              <w:rPr>
                <w:rFonts w:ascii="Arial" w:hAnsi="Arial" w:cs="Arial"/>
                <w:sz w:val="22"/>
              </w:rPr>
              <w:t xml:space="preserve">/guidance </w:t>
            </w:r>
            <w:r w:rsidR="00746254" w:rsidRPr="00746254">
              <w:rPr>
                <w:rFonts w:ascii="Arial" w:hAnsi="Arial" w:cs="Arial"/>
                <w:sz w:val="22"/>
              </w:rPr>
              <w:t>for future</w:t>
            </w:r>
            <w:r w:rsidR="00746254">
              <w:rPr>
                <w:rFonts w:ascii="Arial" w:hAnsi="Arial" w:cs="Arial"/>
                <w:sz w:val="22"/>
              </w:rPr>
              <w:t xml:space="preserve"> reviews and reference</w:t>
            </w:r>
            <w:r w:rsidR="00746254" w:rsidRPr="00746254">
              <w:rPr>
                <w:rFonts w:ascii="Arial" w:hAnsi="Arial" w:cs="Arial"/>
                <w:sz w:val="22"/>
              </w:rPr>
              <w:tab/>
            </w:r>
            <w:r w:rsidR="00746254" w:rsidRPr="00746254">
              <w:rPr>
                <w:rFonts w:ascii="Arial" w:hAnsi="Arial" w:cs="Arial"/>
                <w:sz w:val="22"/>
              </w:rPr>
              <w:tab/>
              <w:t xml:space="preserve">              </w:t>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Pr>
                <w:rFonts w:asciiTheme="minorHAnsi" w:hAnsiTheme="minorHAnsi" w:cs="Andalus"/>
              </w:rPr>
              <w:tab/>
            </w:r>
            <w:r w:rsidR="00746254">
              <w:rPr>
                <w:rFonts w:asciiTheme="minorHAnsi" w:hAnsiTheme="minorHAnsi" w:cs="Andalus"/>
              </w:rPr>
              <w:tab/>
            </w:r>
            <w:r w:rsidR="00746254">
              <w:rPr>
                <w:rFonts w:asciiTheme="minorHAnsi" w:hAnsiTheme="minorHAnsi" w:cs="Andalus"/>
              </w:rPr>
              <w:tab/>
            </w:r>
          </w:p>
        </w:tc>
      </w:tr>
    </w:tbl>
    <w:p w:rsidR="00746254" w:rsidRPr="00C96A81" w:rsidRDefault="00746254" w:rsidP="00746254">
      <w:pPr>
        <w:rPr>
          <w:rFonts w:ascii="Arial" w:hAnsi="Arial" w:cs="Arial"/>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746254" w:rsidP="00746254">
            <w:pPr>
              <w:rPr>
                <w:rFonts w:ascii="Arial" w:hAnsi="Arial" w:cs="Arial"/>
              </w:rPr>
            </w:pPr>
            <w:r w:rsidRPr="00C96A81">
              <w:rPr>
                <w:rFonts w:ascii="Arial" w:hAnsi="Arial" w:cs="Arial"/>
              </w:rPr>
              <w:t>Please set out what makes you an appropriate person to conduct this review:</w:t>
            </w:r>
          </w:p>
        </w:tc>
      </w:tr>
      <w:tr w:rsidR="00746254" w:rsidRPr="00C96A81">
        <w:tc>
          <w:tcPr>
            <w:tcW w:w="9498" w:type="dxa"/>
          </w:tcPr>
          <w:p w:rsidR="00746254" w:rsidRPr="00C96A81" w:rsidRDefault="00676827" w:rsidP="00746254">
            <w:pPr>
              <w:rPr>
                <w:rFonts w:ascii="Arial" w:hAnsi="Arial" w:cs="Arial"/>
              </w:rPr>
            </w:pPr>
            <w:r>
              <w:rPr>
                <w:rFonts w:ascii="Arial" w:hAnsi="Arial" w:cs="Arial"/>
              </w:rPr>
              <w:t xml:space="preserve">Consultant for Adult </w:t>
            </w:r>
            <w:proofErr w:type="spellStart"/>
            <w:r>
              <w:rPr>
                <w:rFonts w:ascii="Arial" w:hAnsi="Arial" w:cs="Arial"/>
              </w:rPr>
              <w:t>Haemoglobinopathy</w:t>
            </w:r>
            <w:proofErr w:type="spellEnd"/>
            <w:r>
              <w:rPr>
                <w:rFonts w:ascii="Arial" w:hAnsi="Arial" w:cs="Arial"/>
              </w:rPr>
              <w:t xml:space="preserve"> service</w:t>
            </w:r>
          </w:p>
        </w:tc>
      </w:tr>
    </w:tbl>
    <w:p w:rsidR="00746254" w:rsidRPr="00C96A81" w:rsidRDefault="00746254" w:rsidP="00746254">
      <w:pPr>
        <w:rPr>
          <w:rFonts w:ascii="Arial" w:hAnsi="Arial" w:cs="Arial"/>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C96A81" w:rsidP="00746254">
            <w:pPr>
              <w:rPr>
                <w:rFonts w:ascii="Arial" w:hAnsi="Arial" w:cs="Arial"/>
              </w:rPr>
            </w:pPr>
            <w:r w:rsidRPr="00C96A81">
              <w:rPr>
                <w:rFonts w:ascii="Arial" w:hAnsi="Arial" w:cs="Arial"/>
              </w:rPr>
              <w:t>Please set out the legislation, guidance and best practice you consulted for this review:</w:t>
            </w:r>
          </w:p>
        </w:tc>
      </w:tr>
      <w:tr w:rsidR="00746254" w:rsidRPr="00C96A81">
        <w:tc>
          <w:tcPr>
            <w:tcW w:w="9498" w:type="dxa"/>
          </w:tcPr>
          <w:p w:rsidR="00423D50" w:rsidRDefault="00423D50" w:rsidP="00423D50">
            <w:pPr>
              <w:pStyle w:val="Default"/>
              <w:numPr>
                <w:ilvl w:val="0"/>
                <w:numId w:val="14"/>
              </w:numPr>
              <w:rPr>
                <w:rFonts w:ascii="Arial" w:hAnsi="Arial" w:cs="Arial"/>
                <w:sz w:val="22"/>
                <w:szCs w:val="22"/>
              </w:rPr>
            </w:pPr>
            <w:r w:rsidRPr="009679C6">
              <w:rPr>
                <w:rFonts w:ascii="Arial" w:hAnsi="Arial" w:cs="Arial"/>
                <w:sz w:val="22"/>
                <w:szCs w:val="22"/>
              </w:rPr>
              <w:t xml:space="preserve">West Midlands Review Service – Quality Standards: Health Services for People with Haemoglobin Disorders (2018/19) </w:t>
            </w:r>
          </w:p>
          <w:p w:rsidR="000A3A89" w:rsidRDefault="000A3A89" w:rsidP="000A3A89">
            <w:pPr>
              <w:pStyle w:val="Default"/>
              <w:ind w:left="720"/>
              <w:rPr>
                <w:rFonts w:ascii="Arial" w:hAnsi="Arial" w:cs="Arial"/>
                <w:sz w:val="22"/>
                <w:szCs w:val="22"/>
              </w:rPr>
            </w:pPr>
          </w:p>
          <w:p w:rsidR="000A3A89" w:rsidRDefault="000A3A89" w:rsidP="000A3A89">
            <w:pPr>
              <w:pStyle w:val="ListParagraph"/>
              <w:widowControl/>
              <w:numPr>
                <w:ilvl w:val="0"/>
                <w:numId w:val="14"/>
              </w:numPr>
              <w:rPr>
                <w:rFonts w:ascii="Arial" w:eastAsiaTheme="minorHAnsi" w:hAnsi="Arial" w:cs="Arial"/>
                <w:bCs/>
                <w:sz w:val="22"/>
                <w:szCs w:val="22"/>
                <w:lang w:eastAsia="en-US"/>
              </w:rPr>
            </w:pPr>
            <w:r w:rsidRPr="000A3A89">
              <w:rPr>
                <w:rFonts w:ascii="Arial" w:eastAsiaTheme="minorHAnsi" w:hAnsi="Arial" w:cs="Arial"/>
                <w:bCs/>
                <w:sz w:val="22"/>
                <w:szCs w:val="22"/>
                <w:lang w:eastAsia="en-US"/>
              </w:rPr>
              <w:t xml:space="preserve">Clinical Commissioning Policy: Treatment of iron overload for transfused and </w:t>
            </w:r>
            <w:proofErr w:type="spellStart"/>
            <w:r w:rsidRPr="000A3A89">
              <w:rPr>
                <w:rFonts w:ascii="Arial" w:eastAsiaTheme="minorHAnsi" w:hAnsi="Arial" w:cs="Arial"/>
                <w:bCs/>
                <w:sz w:val="22"/>
                <w:szCs w:val="22"/>
                <w:lang w:eastAsia="en-US"/>
              </w:rPr>
              <w:t>non transfused</w:t>
            </w:r>
            <w:proofErr w:type="spellEnd"/>
            <w:r w:rsidRPr="000A3A89">
              <w:rPr>
                <w:rFonts w:ascii="Arial" w:eastAsiaTheme="minorHAnsi" w:hAnsi="Arial" w:cs="Arial"/>
                <w:bCs/>
                <w:sz w:val="22"/>
                <w:szCs w:val="22"/>
                <w:lang w:eastAsia="en-US"/>
              </w:rPr>
              <w:t xml:space="preserve"> patients with chronic inherited </w:t>
            </w:r>
            <w:proofErr w:type="spellStart"/>
            <w:r w:rsidRPr="000A3A89">
              <w:rPr>
                <w:rFonts w:ascii="Arial" w:eastAsiaTheme="minorHAnsi" w:hAnsi="Arial" w:cs="Arial"/>
                <w:bCs/>
                <w:sz w:val="22"/>
                <w:szCs w:val="22"/>
                <w:lang w:eastAsia="en-US"/>
              </w:rPr>
              <w:t>anaemias</w:t>
            </w:r>
            <w:proofErr w:type="spellEnd"/>
            <w:r w:rsidRPr="000A3A89">
              <w:rPr>
                <w:rFonts w:ascii="Arial" w:eastAsiaTheme="minorHAnsi" w:hAnsi="Arial" w:cs="Arial"/>
                <w:bCs/>
                <w:sz w:val="22"/>
                <w:szCs w:val="22"/>
                <w:lang w:eastAsia="en-US"/>
              </w:rPr>
              <w:t>: Reference: NHS England: 16070/P (April 2016)</w:t>
            </w:r>
          </w:p>
          <w:p w:rsidR="000A3A89" w:rsidRPr="000A3A89" w:rsidRDefault="000A3A89" w:rsidP="000A3A89">
            <w:pPr>
              <w:pStyle w:val="ListParagraph"/>
              <w:rPr>
                <w:rFonts w:ascii="Arial" w:eastAsiaTheme="minorHAnsi" w:hAnsi="Arial" w:cs="Arial"/>
                <w:bCs/>
                <w:sz w:val="22"/>
                <w:szCs w:val="22"/>
                <w:lang w:eastAsia="en-US"/>
              </w:rPr>
            </w:pPr>
          </w:p>
          <w:p w:rsidR="00746254" w:rsidRPr="000A3A89" w:rsidRDefault="000A3A89" w:rsidP="000A3A89">
            <w:pPr>
              <w:pStyle w:val="ListParagraph"/>
              <w:widowControl/>
              <w:numPr>
                <w:ilvl w:val="0"/>
                <w:numId w:val="14"/>
              </w:numPr>
              <w:rPr>
                <w:rFonts w:ascii="Arial" w:eastAsiaTheme="minorHAnsi" w:hAnsi="Arial" w:cs="Arial"/>
                <w:bCs/>
                <w:sz w:val="22"/>
                <w:szCs w:val="22"/>
                <w:lang w:eastAsia="en-US"/>
              </w:rPr>
            </w:pPr>
            <w:r>
              <w:rPr>
                <w:rFonts w:ascii="Arial" w:eastAsiaTheme="minorHAnsi" w:hAnsi="Arial" w:cs="Arial"/>
                <w:bCs/>
                <w:sz w:val="22"/>
                <w:szCs w:val="22"/>
                <w:lang w:eastAsia="en-US"/>
              </w:rPr>
              <w:t xml:space="preserve">Standards for the clinical care of children and Adults with </w:t>
            </w:r>
            <w:proofErr w:type="spellStart"/>
            <w:r>
              <w:rPr>
                <w:rFonts w:ascii="Arial" w:eastAsiaTheme="minorHAnsi" w:hAnsi="Arial" w:cs="Arial"/>
                <w:bCs/>
                <w:sz w:val="22"/>
                <w:szCs w:val="22"/>
                <w:lang w:eastAsia="en-US"/>
              </w:rPr>
              <w:t>Thalassaemia</w:t>
            </w:r>
            <w:proofErr w:type="spellEnd"/>
            <w:r>
              <w:rPr>
                <w:rFonts w:ascii="Arial" w:eastAsiaTheme="minorHAnsi" w:hAnsi="Arial" w:cs="Arial"/>
                <w:bCs/>
                <w:sz w:val="22"/>
                <w:szCs w:val="22"/>
                <w:lang w:eastAsia="en-US"/>
              </w:rPr>
              <w:t xml:space="preserve"> in the UK – UKTS – 3</w:t>
            </w:r>
            <w:r w:rsidRPr="000A3A89">
              <w:rPr>
                <w:rFonts w:ascii="Arial" w:eastAsiaTheme="minorHAnsi" w:hAnsi="Arial" w:cs="Arial"/>
                <w:bCs/>
                <w:sz w:val="22"/>
                <w:szCs w:val="22"/>
                <w:vertAlign w:val="superscript"/>
                <w:lang w:eastAsia="en-US"/>
              </w:rPr>
              <w:t>rd</w:t>
            </w:r>
            <w:r>
              <w:rPr>
                <w:rFonts w:ascii="Arial" w:eastAsiaTheme="minorHAnsi" w:hAnsi="Arial" w:cs="Arial"/>
                <w:bCs/>
                <w:sz w:val="22"/>
                <w:szCs w:val="22"/>
                <w:lang w:eastAsia="en-US"/>
              </w:rPr>
              <w:t xml:space="preserve"> Edition, 2016</w:t>
            </w:r>
          </w:p>
        </w:tc>
      </w:tr>
    </w:tbl>
    <w:p w:rsidR="00746254" w:rsidRPr="00C96A81" w:rsidRDefault="00746254" w:rsidP="00746254">
      <w:pPr>
        <w:widowControl/>
        <w:autoSpaceDE/>
        <w:autoSpaceDN/>
        <w:adjustRightInd/>
        <w:rPr>
          <w:b/>
          <w:bCs/>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0F0966" w:rsidRDefault="00746254" w:rsidP="00746254">
            <w:pPr>
              <w:rPr>
                <w:rFonts w:ascii="Arial" w:hAnsi="Arial" w:cs="Arial"/>
              </w:rPr>
            </w:pPr>
            <w:r w:rsidRPr="000F0966">
              <w:rPr>
                <w:rFonts w:ascii="Arial" w:hAnsi="Arial" w:cs="Arial"/>
              </w:rPr>
              <w:t>Please identify the key people you involved in reviewing this policy why, and when:</w:t>
            </w:r>
          </w:p>
        </w:tc>
      </w:tr>
      <w:tr w:rsidR="00746254" w:rsidRPr="00A02639">
        <w:tc>
          <w:tcPr>
            <w:tcW w:w="9498" w:type="dxa"/>
          </w:tcPr>
          <w:p w:rsidR="00746254" w:rsidRPr="000F0966" w:rsidRDefault="000F0966" w:rsidP="000F0966">
            <w:pPr>
              <w:pStyle w:val="ListParagraph"/>
              <w:numPr>
                <w:ilvl w:val="0"/>
                <w:numId w:val="32"/>
              </w:numPr>
              <w:rPr>
                <w:rFonts w:ascii="Arial" w:hAnsi="Arial" w:cs="Arial"/>
              </w:rPr>
            </w:pPr>
            <w:r w:rsidRPr="000F0966">
              <w:rPr>
                <w:rFonts w:ascii="Arial" w:hAnsi="Arial" w:cs="Arial"/>
              </w:rPr>
              <w:t xml:space="preserve">Kelly Feane – Lead Transfusion </w:t>
            </w:r>
            <w:proofErr w:type="spellStart"/>
            <w:r w:rsidRPr="000F0966">
              <w:rPr>
                <w:rFonts w:ascii="Arial" w:hAnsi="Arial" w:cs="Arial"/>
              </w:rPr>
              <w:t>Pracititioner</w:t>
            </w:r>
            <w:proofErr w:type="spellEnd"/>
          </w:p>
        </w:tc>
      </w:tr>
    </w:tbl>
    <w:p w:rsidR="00746254" w:rsidRPr="00A02639" w:rsidRDefault="00746254" w:rsidP="00746254">
      <w:pPr>
        <w:widowControl/>
        <w:autoSpaceDE/>
        <w:autoSpaceDN/>
        <w:adjustRightInd/>
        <w:rPr>
          <w:b/>
          <w:bCs/>
          <w:color w:val="FFFF00"/>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746254" w:rsidP="00DA1DCF">
            <w:pPr>
              <w:rPr>
                <w:rFonts w:ascii="Arial" w:hAnsi="Arial" w:cs="Arial"/>
              </w:rPr>
            </w:pPr>
            <w:r w:rsidRPr="00C96A81">
              <w:rPr>
                <w:rFonts w:ascii="Arial" w:hAnsi="Arial" w:cs="Arial"/>
              </w:rPr>
              <w:t>Summarise the key changes you have made and why:</w:t>
            </w:r>
          </w:p>
        </w:tc>
      </w:tr>
      <w:tr w:rsidR="00746254" w:rsidRPr="00C96A81">
        <w:tc>
          <w:tcPr>
            <w:tcW w:w="9498" w:type="dxa"/>
          </w:tcPr>
          <w:p w:rsidR="00423D50" w:rsidRDefault="00423D50" w:rsidP="00423D50">
            <w:pPr>
              <w:rPr>
                <w:rFonts w:ascii="Arial" w:hAnsi="Arial" w:cs="Arial"/>
              </w:rPr>
            </w:pPr>
            <w:r>
              <w:rPr>
                <w:rFonts w:ascii="Arial" w:hAnsi="Arial" w:cs="Arial"/>
              </w:rPr>
              <w:t xml:space="preserve">Updates in line with the UK standards of care for SCD </w:t>
            </w:r>
          </w:p>
          <w:p w:rsidR="00746254" w:rsidRDefault="00423D50" w:rsidP="00423D50">
            <w:pPr>
              <w:rPr>
                <w:rFonts w:ascii="Arial" w:hAnsi="Arial" w:cs="Arial"/>
              </w:rPr>
            </w:pPr>
            <w:r>
              <w:rPr>
                <w:rFonts w:ascii="Arial" w:hAnsi="Arial" w:cs="Arial"/>
              </w:rPr>
              <w:t>Updated contact det</w:t>
            </w:r>
            <w:bookmarkStart w:id="0" w:name="_GoBack"/>
            <w:bookmarkEnd w:id="0"/>
            <w:r>
              <w:rPr>
                <w:rFonts w:ascii="Arial" w:hAnsi="Arial" w:cs="Arial"/>
              </w:rPr>
              <w:t>ails</w:t>
            </w:r>
          </w:p>
          <w:p w:rsidR="000A3A89" w:rsidRPr="00C96A81" w:rsidRDefault="000A3A89" w:rsidP="00423D50">
            <w:pPr>
              <w:rPr>
                <w:rFonts w:ascii="Arial" w:hAnsi="Arial" w:cs="Arial"/>
              </w:rPr>
            </w:pPr>
            <w:r>
              <w:rPr>
                <w:rFonts w:ascii="Arial" w:hAnsi="Arial" w:cs="Arial"/>
              </w:rPr>
              <w:t>V3.1 – updated for formatting reason</w:t>
            </w:r>
          </w:p>
        </w:tc>
      </w:tr>
    </w:tbl>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rFonts w:ascii="Arial" w:hAnsi="Arial" w:cs="Arial"/>
          <w:b/>
          <w:bCs/>
          <w:sz w:val="26"/>
          <w:szCs w:val="26"/>
        </w:rPr>
      </w:pPr>
      <w:r>
        <w:rPr>
          <w:b/>
          <w:bCs/>
          <w:sz w:val="26"/>
          <w:szCs w:val="26"/>
        </w:rPr>
        <w:br w:type="page"/>
      </w:r>
    </w:p>
    <w:p w:rsidR="00FC5932" w:rsidRPr="00374469" w:rsidRDefault="00FC5932" w:rsidP="00746254">
      <w:pPr>
        <w:pStyle w:val="BodyText"/>
        <w:kinsoku w:val="0"/>
        <w:overflowPunct w:val="0"/>
        <w:spacing w:before="38"/>
        <w:ind w:left="0" w:right="873"/>
        <w:rPr>
          <w:b/>
          <w:bCs/>
        </w:rPr>
      </w:pPr>
      <w:r w:rsidRPr="002D16C0">
        <w:rPr>
          <w:b/>
          <w:bCs/>
        </w:rPr>
        <w:lastRenderedPageBreak/>
        <w:t>Executive</w:t>
      </w:r>
      <w:r w:rsidRPr="002D16C0">
        <w:rPr>
          <w:b/>
          <w:bCs/>
          <w:spacing w:val="-14"/>
        </w:rPr>
        <w:t xml:space="preserve"> </w:t>
      </w:r>
      <w:r w:rsidRPr="002D16C0">
        <w:rPr>
          <w:b/>
          <w:bCs/>
        </w:rPr>
        <w:t>Summary</w:t>
      </w:r>
    </w:p>
    <w:p w:rsidR="00374469" w:rsidRPr="00374469" w:rsidRDefault="00374469" w:rsidP="00746254">
      <w:pPr>
        <w:pStyle w:val="BodyText"/>
        <w:kinsoku w:val="0"/>
        <w:overflowPunct w:val="0"/>
        <w:spacing w:before="38"/>
        <w:ind w:left="0" w:right="873"/>
      </w:pPr>
    </w:p>
    <w:p w:rsidR="00FC5932" w:rsidRPr="00B03451" w:rsidRDefault="002D16C0" w:rsidP="002D16C0">
      <w:pPr>
        <w:pStyle w:val="BodyText"/>
        <w:kinsoku w:val="0"/>
        <w:overflowPunct w:val="0"/>
        <w:spacing w:before="55"/>
        <w:ind w:left="0" w:right="2136"/>
        <w:jc w:val="both"/>
      </w:pPr>
      <w:r>
        <w:t xml:space="preserve">Transfusion in patients with Sickle Cell Disease (SCD) and </w:t>
      </w:r>
      <w:proofErr w:type="spellStart"/>
      <w:r>
        <w:t>thalassaemia</w:t>
      </w:r>
      <w:proofErr w:type="spellEnd"/>
      <w:r>
        <w:t xml:space="preserve"> is increasing rapidly across the UK but with variability in indications and lack of robust evidence in many cases. Th</w:t>
      </w:r>
      <w:r w:rsidR="009D3B0F">
        <w:t>is</w:t>
      </w:r>
      <w:r>
        <w:t xml:space="preserve"> guideline describe</w:t>
      </w:r>
      <w:r w:rsidR="009D3B0F">
        <w:t>s</w:t>
      </w:r>
      <w:r>
        <w:t xml:space="preserve"> the indications, management and process (including safety and selection) for blood transfusion in </w:t>
      </w:r>
      <w:proofErr w:type="spellStart"/>
      <w:r>
        <w:t>thalassaemia</w:t>
      </w:r>
      <w:proofErr w:type="spellEnd"/>
      <w:r>
        <w:t xml:space="preserve">. </w:t>
      </w:r>
    </w:p>
    <w:p w:rsidR="00B03451" w:rsidRPr="00B03451" w:rsidRDefault="00B03451" w:rsidP="00FC5932">
      <w:pPr>
        <w:pStyle w:val="BodyText"/>
        <w:kinsoku w:val="0"/>
        <w:overflowPunct w:val="0"/>
        <w:spacing w:before="55"/>
        <w:ind w:left="0" w:right="2136"/>
      </w:pPr>
    </w:p>
    <w:p w:rsidR="00B03451" w:rsidRP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7C4CC5" w:rsidRPr="007C4CC5" w:rsidRDefault="007C4CC5" w:rsidP="007C4CC5"/>
    <w:p w:rsidR="00802AE5" w:rsidRDefault="00802AE5">
      <w:pPr>
        <w:widowControl/>
        <w:autoSpaceDE/>
        <w:autoSpaceDN/>
        <w:adjustRightInd/>
        <w:spacing w:after="200" w:line="276" w:lineRule="auto"/>
        <w:rPr>
          <w:rFonts w:ascii="Arial" w:hAnsi="Arial" w:cs="Arial"/>
          <w:b/>
          <w:bCs/>
          <w:sz w:val="22"/>
          <w:szCs w:val="22"/>
        </w:rPr>
      </w:pPr>
    </w:p>
    <w:p w:rsidR="007C4CC5" w:rsidRPr="002D16C0" w:rsidRDefault="007C4CC5" w:rsidP="007C4CC5">
      <w:pPr>
        <w:pStyle w:val="Heading2"/>
        <w:numPr>
          <w:ilvl w:val="0"/>
          <w:numId w:val="1"/>
        </w:numPr>
        <w:tabs>
          <w:tab w:val="left" w:pos="640"/>
        </w:tabs>
        <w:kinsoku w:val="0"/>
        <w:overflowPunct w:val="0"/>
        <w:spacing w:line="276" w:lineRule="exact"/>
        <w:ind w:left="639" w:right="1" w:hanging="539"/>
        <w:rPr>
          <w:sz w:val="22"/>
          <w:szCs w:val="22"/>
        </w:rPr>
      </w:pPr>
      <w:r w:rsidRPr="002D16C0">
        <w:rPr>
          <w:sz w:val="22"/>
          <w:szCs w:val="22"/>
        </w:rPr>
        <w:t>Introduction</w:t>
      </w:r>
    </w:p>
    <w:p w:rsidR="00802AE5" w:rsidRDefault="00802AE5" w:rsidP="00802AE5"/>
    <w:p w:rsidR="009D3B0F" w:rsidRPr="00B03451" w:rsidRDefault="009D3B0F" w:rsidP="009D3B0F">
      <w:pPr>
        <w:pStyle w:val="BodyText"/>
        <w:kinsoku w:val="0"/>
        <w:overflowPunct w:val="0"/>
        <w:spacing w:before="55"/>
        <w:ind w:left="0" w:right="2136"/>
        <w:jc w:val="both"/>
      </w:pPr>
      <w:r>
        <w:t xml:space="preserve">Transfusion in patients with Sickle Cell Disease (SCD) and </w:t>
      </w:r>
      <w:proofErr w:type="spellStart"/>
      <w:r>
        <w:t>thalassaemia</w:t>
      </w:r>
      <w:proofErr w:type="spellEnd"/>
      <w:r>
        <w:t xml:space="preserve"> is increasing rapidly across the UK but with variability in indications and lack of robust evidence in many cases. This guideline describes the indications, management and process (including safety and selection) for blood transfusion in </w:t>
      </w:r>
      <w:proofErr w:type="spellStart"/>
      <w:r>
        <w:t>thalassaemia</w:t>
      </w:r>
      <w:proofErr w:type="spellEnd"/>
      <w:r>
        <w:t xml:space="preserve">. </w:t>
      </w:r>
    </w:p>
    <w:p w:rsidR="009D3B0F" w:rsidRDefault="009D3B0F" w:rsidP="002D16C0">
      <w:pPr>
        <w:pStyle w:val="BodyText"/>
        <w:kinsoku w:val="0"/>
        <w:overflowPunct w:val="0"/>
        <w:spacing w:before="55"/>
        <w:ind w:left="0" w:right="2136"/>
        <w:jc w:val="both"/>
      </w:pPr>
    </w:p>
    <w:p w:rsidR="002D16C0" w:rsidRPr="003B6573" w:rsidRDefault="002D16C0" w:rsidP="002D16C0">
      <w:pPr>
        <w:rPr>
          <w:rFonts w:ascii="Arial" w:hAnsi="Arial" w:cs="Arial"/>
          <w:sz w:val="22"/>
          <w:szCs w:val="22"/>
        </w:rPr>
      </w:pPr>
      <w:r w:rsidRPr="003B6573">
        <w:rPr>
          <w:rFonts w:ascii="Arial" w:hAnsi="Arial" w:cs="Arial"/>
          <w:sz w:val="22"/>
          <w:szCs w:val="22"/>
        </w:rPr>
        <w:t xml:space="preserve">These guidelines should be used in conjunction with the St George’s University Hospitals NHS Blood Transfusion Policy </w:t>
      </w:r>
      <w:hyperlink r:id="rId10" w:history="1">
        <w:r w:rsidRPr="003B6573">
          <w:rPr>
            <w:rStyle w:val="Hyperlink"/>
            <w:rFonts w:ascii="Arial" w:hAnsi="Arial" w:cs="Arial"/>
            <w:sz w:val="22"/>
            <w:szCs w:val="22"/>
          </w:rPr>
          <w:t>http://stg1wordpress01/wordpress/wp-content/uploads/2016/06/Blood-Transfusion-Adults.pdf</w:t>
        </w:r>
      </w:hyperlink>
      <w:r w:rsidRPr="003B6573">
        <w:rPr>
          <w:rFonts w:ascii="Arial" w:hAnsi="Arial" w:cs="Arial"/>
          <w:sz w:val="22"/>
          <w:szCs w:val="22"/>
        </w:rPr>
        <w:t xml:space="preserve"> </w:t>
      </w:r>
    </w:p>
    <w:p w:rsidR="002D16C0" w:rsidRPr="00B03451" w:rsidRDefault="002D16C0" w:rsidP="002D16C0">
      <w:pPr>
        <w:pStyle w:val="BodyText"/>
        <w:kinsoku w:val="0"/>
        <w:overflowPunct w:val="0"/>
        <w:spacing w:before="55"/>
        <w:ind w:left="0" w:right="2136"/>
        <w:jc w:val="both"/>
      </w:pPr>
    </w:p>
    <w:p w:rsidR="002D16C0" w:rsidRPr="00802AE5" w:rsidRDefault="002D16C0" w:rsidP="00802AE5"/>
    <w:p w:rsidR="00ED74C8" w:rsidRPr="00F33070" w:rsidRDefault="00ED74C8" w:rsidP="007C4CC5">
      <w:pPr>
        <w:pStyle w:val="Heading2"/>
        <w:numPr>
          <w:ilvl w:val="0"/>
          <w:numId w:val="1"/>
        </w:numPr>
        <w:tabs>
          <w:tab w:val="left" w:pos="640"/>
        </w:tabs>
        <w:kinsoku w:val="0"/>
        <w:overflowPunct w:val="0"/>
        <w:spacing w:line="276" w:lineRule="exact"/>
        <w:ind w:left="639" w:right="1" w:hanging="539"/>
        <w:rPr>
          <w:b w:val="0"/>
          <w:bCs w:val="0"/>
          <w:i/>
          <w:sz w:val="20"/>
          <w:szCs w:val="20"/>
        </w:rPr>
      </w:pPr>
      <w:r w:rsidRPr="00F33070">
        <w:rPr>
          <w:i/>
          <w:sz w:val="20"/>
          <w:szCs w:val="20"/>
        </w:rPr>
        <w:t>Status and Purpose</w:t>
      </w:r>
    </w:p>
    <w:p w:rsidR="00ED74C8" w:rsidRPr="00F33070" w:rsidRDefault="00ED74C8" w:rsidP="007C4CC5">
      <w:pPr>
        <w:pStyle w:val="BodyText"/>
        <w:kinsoku w:val="0"/>
        <w:overflowPunct w:val="0"/>
        <w:spacing w:line="253" w:lineRule="exact"/>
        <w:ind w:left="0"/>
        <w:jc w:val="both"/>
        <w:rPr>
          <w:i/>
          <w:sz w:val="20"/>
          <w:szCs w:val="20"/>
        </w:rPr>
      </w:pPr>
    </w:p>
    <w:p w:rsidR="00ED74C8" w:rsidRPr="00F33070" w:rsidRDefault="00ED74C8" w:rsidP="00ED74C8">
      <w:pPr>
        <w:pStyle w:val="BodyText"/>
        <w:kinsoku w:val="0"/>
        <w:overflowPunct w:val="0"/>
        <w:spacing w:line="253" w:lineRule="exact"/>
        <w:jc w:val="both"/>
        <w:rPr>
          <w:i/>
          <w:sz w:val="20"/>
          <w:szCs w:val="20"/>
        </w:rPr>
      </w:pPr>
      <w:r w:rsidRPr="00F33070">
        <w:rPr>
          <w:i/>
          <w:sz w:val="20"/>
          <w:szCs w:val="20"/>
        </w:rPr>
        <w:t xml:space="preserve">This document is part of the Haematology Department’s guidelines on the management of patients with SCD and is applicable to all staff involved in the care of these patients. </w:t>
      </w:r>
    </w:p>
    <w:p w:rsidR="00ED74C8" w:rsidRPr="00F33070" w:rsidRDefault="00ED74C8" w:rsidP="00ED74C8">
      <w:pPr>
        <w:pStyle w:val="BodyText"/>
        <w:kinsoku w:val="0"/>
        <w:overflowPunct w:val="0"/>
        <w:spacing w:line="253" w:lineRule="exact"/>
        <w:jc w:val="both"/>
        <w:rPr>
          <w:i/>
          <w:sz w:val="20"/>
          <w:szCs w:val="20"/>
        </w:rPr>
      </w:pPr>
    </w:p>
    <w:p w:rsidR="00ED74C8" w:rsidRPr="00F33070" w:rsidRDefault="00ED74C8" w:rsidP="00ED74C8">
      <w:pPr>
        <w:pStyle w:val="Heading2"/>
        <w:numPr>
          <w:ilvl w:val="0"/>
          <w:numId w:val="1"/>
        </w:numPr>
        <w:tabs>
          <w:tab w:val="left" w:pos="636"/>
        </w:tabs>
        <w:kinsoku w:val="0"/>
        <w:overflowPunct w:val="0"/>
        <w:spacing w:line="275" w:lineRule="exact"/>
        <w:ind w:left="635" w:right="1"/>
        <w:rPr>
          <w:b w:val="0"/>
          <w:bCs w:val="0"/>
          <w:i/>
          <w:sz w:val="20"/>
          <w:szCs w:val="20"/>
        </w:rPr>
      </w:pPr>
      <w:r w:rsidRPr="00F33070">
        <w:rPr>
          <w:i/>
          <w:sz w:val="20"/>
          <w:szCs w:val="20"/>
        </w:rPr>
        <w:t>Definitions</w:t>
      </w:r>
    </w:p>
    <w:p w:rsidR="00ED74C8" w:rsidRPr="00F33070" w:rsidRDefault="00ED74C8" w:rsidP="00ED74C8">
      <w:pPr>
        <w:pStyle w:val="BodyText"/>
        <w:kinsoku w:val="0"/>
        <w:overflowPunct w:val="0"/>
        <w:ind w:right="1"/>
        <w:rPr>
          <w:i/>
          <w:sz w:val="20"/>
          <w:szCs w:val="20"/>
        </w:rPr>
      </w:pPr>
      <w:r w:rsidRPr="00F33070">
        <w:rPr>
          <w:i/>
          <w:sz w:val="20"/>
          <w:szCs w:val="20"/>
        </w:rPr>
        <w:t>Sickl</w:t>
      </w:r>
      <w:r w:rsidR="007C4CC5" w:rsidRPr="00F33070">
        <w:rPr>
          <w:i/>
          <w:sz w:val="20"/>
          <w:szCs w:val="20"/>
        </w:rPr>
        <w:t>e Cell Disease – inherited life</w:t>
      </w:r>
      <w:r w:rsidRPr="00F33070">
        <w:rPr>
          <w:i/>
          <w:sz w:val="20"/>
          <w:szCs w:val="20"/>
        </w:rPr>
        <w:t>long condition d</w:t>
      </w:r>
      <w:r w:rsidR="007C4CC5" w:rsidRPr="00F33070">
        <w:rPr>
          <w:i/>
          <w:sz w:val="20"/>
          <w:szCs w:val="20"/>
        </w:rPr>
        <w:t>ue to abnormal haemoglobin varia</w:t>
      </w:r>
      <w:r w:rsidRPr="00F33070">
        <w:rPr>
          <w:i/>
          <w:sz w:val="20"/>
          <w:szCs w:val="20"/>
        </w:rPr>
        <w:t>nt</w:t>
      </w:r>
      <w:r w:rsidR="008663ED" w:rsidRPr="00F33070">
        <w:rPr>
          <w:i/>
          <w:sz w:val="20"/>
          <w:szCs w:val="20"/>
        </w:rPr>
        <w:t>.</w:t>
      </w:r>
    </w:p>
    <w:p w:rsidR="00ED74C8" w:rsidRPr="00F33070" w:rsidRDefault="00ED74C8" w:rsidP="00ED74C8">
      <w:pPr>
        <w:pStyle w:val="BodyText"/>
        <w:kinsoku w:val="0"/>
        <w:overflowPunct w:val="0"/>
        <w:spacing w:before="1"/>
        <w:ind w:left="0"/>
        <w:rPr>
          <w:i/>
          <w:sz w:val="20"/>
          <w:szCs w:val="20"/>
        </w:rPr>
      </w:pPr>
    </w:p>
    <w:p w:rsidR="00ED74C8" w:rsidRPr="00F33070" w:rsidRDefault="00ED74C8" w:rsidP="00ED74C8">
      <w:pPr>
        <w:pStyle w:val="Heading2"/>
        <w:numPr>
          <w:ilvl w:val="0"/>
          <w:numId w:val="1"/>
        </w:numPr>
        <w:tabs>
          <w:tab w:val="left" w:pos="636"/>
        </w:tabs>
        <w:kinsoku w:val="0"/>
        <w:overflowPunct w:val="0"/>
        <w:ind w:left="635" w:right="1"/>
        <w:rPr>
          <w:b w:val="0"/>
          <w:bCs w:val="0"/>
          <w:i/>
          <w:sz w:val="20"/>
          <w:szCs w:val="20"/>
        </w:rPr>
      </w:pPr>
      <w:r w:rsidRPr="00F33070">
        <w:rPr>
          <w:i/>
          <w:sz w:val="20"/>
          <w:szCs w:val="20"/>
        </w:rPr>
        <w:t>Scope</w:t>
      </w:r>
    </w:p>
    <w:p w:rsidR="00ED74C8" w:rsidRPr="00F33070" w:rsidRDefault="00ED74C8" w:rsidP="00ED74C8">
      <w:pPr>
        <w:pStyle w:val="BodyText"/>
        <w:kinsoku w:val="0"/>
        <w:overflowPunct w:val="0"/>
        <w:jc w:val="both"/>
        <w:rPr>
          <w:i/>
          <w:sz w:val="20"/>
          <w:szCs w:val="20"/>
        </w:rPr>
      </w:pPr>
      <w:r w:rsidRPr="00F33070">
        <w:rPr>
          <w:i/>
          <w:sz w:val="20"/>
          <w:szCs w:val="20"/>
        </w:rPr>
        <w:t xml:space="preserve">This guideline is relevant to the care of patients with SCD </w:t>
      </w:r>
      <w:r w:rsidR="007C4CC5" w:rsidRPr="00F33070">
        <w:rPr>
          <w:i/>
          <w:sz w:val="20"/>
          <w:szCs w:val="20"/>
        </w:rPr>
        <w:t xml:space="preserve">requiring elective and emergency surgery at </w:t>
      </w:r>
      <w:proofErr w:type="spellStart"/>
      <w:r w:rsidR="007C4CC5" w:rsidRPr="00F33070">
        <w:rPr>
          <w:i/>
          <w:sz w:val="20"/>
          <w:szCs w:val="20"/>
        </w:rPr>
        <w:t>St.George’s</w:t>
      </w:r>
      <w:proofErr w:type="spellEnd"/>
      <w:r w:rsidR="007C4CC5" w:rsidRPr="00F33070">
        <w:rPr>
          <w:i/>
          <w:sz w:val="20"/>
          <w:szCs w:val="20"/>
        </w:rPr>
        <w:t>.</w:t>
      </w:r>
    </w:p>
    <w:p w:rsidR="00ED74C8" w:rsidRPr="00F33070" w:rsidRDefault="00ED74C8" w:rsidP="00ED74C8">
      <w:pPr>
        <w:pStyle w:val="BodyText"/>
        <w:kinsoku w:val="0"/>
        <w:overflowPunct w:val="0"/>
        <w:spacing w:before="5"/>
        <w:ind w:left="0"/>
        <w:rPr>
          <w:i/>
          <w:sz w:val="20"/>
          <w:szCs w:val="20"/>
        </w:rPr>
      </w:pPr>
    </w:p>
    <w:p w:rsidR="00ED74C8" w:rsidRPr="00F33070" w:rsidRDefault="00ED74C8" w:rsidP="00ED74C8">
      <w:pPr>
        <w:pStyle w:val="Heading2"/>
        <w:numPr>
          <w:ilvl w:val="0"/>
          <w:numId w:val="1"/>
        </w:numPr>
        <w:tabs>
          <w:tab w:val="left" w:pos="640"/>
        </w:tabs>
        <w:kinsoku w:val="0"/>
        <w:overflowPunct w:val="0"/>
        <w:spacing w:line="276" w:lineRule="exact"/>
        <w:ind w:left="639" w:right="1" w:hanging="539"/>
        <w:rPr>
          <w:b w:val="0"/>
          <w:bCs w:val="0"/>
          <w:i/>
          <w:sz w:val="20"/>
          <w:szCs w:val="20"/>
        </w:rPr>
      </w:pPr>
      <w:r w:rsidRPr="00F33070">
        <w:rPr>
          <w:i/>
          <w:sz w:val="20"/>
          <w:szCs w:val="20"/>
        </w:rPr>
        <w:t>Roles and</w:t>
      </w:r>
      <w:r w:rsidRPr="00F33070">
        <w:rPr>
          <w:i/>
          <w:spacing w:val="-1"/>
          <w:sz w:val="20"/>
          <w:szCs w:val="20"/>
        </w:rPr>
        <w:t xml:space="preserve"> </w:t>
      </w:r>
      <w:r w:rsidRPr="00F33070">
        <w:rPr>
          <w:i/>
          <w:sz w:val="20"/>
          <w:szCs w:val="20"/>
        </w:rPr>
        <w:t>Responsibilities</w:t>
      </w:r>
    </w:p>
    <w:p w:rsidR="00ED74C8" w:rsidRPr="00F33070" w:rsidRDefault="00ED74C8" w:rsidP="00ED74C8">
      <w:pPr>
        <w:pStyle w:val="BodyText"/>
        <w:kinsoku w:val="0"/>
        <w:overflowPunct w:val="0"/>
        <w:spacing w:before="2"/>
        <w:ind w:left="0"/>
        <w:rPr>
          <w:i/>
          <w:sz w:val="20"/>
          <w:szCs w:val="20"/>
        </w:rPr>
      </w:pPr>
    </w:p>
    <w:p w:rsidR="00ED74C8" w:rsidRPr="00F33070" w:rsidRDefault="00ED74C8" w:rsidP="00ED74C8">
      <w:pPr>
        <w:pStyle w:val="Heading3"/>
        <w:kinsoku w:val="0"/>
        <w:overflowPunct w:val="0"/>
        <w:ind w:left="640"/>
        <w:jc w:val="both"/>
        <w:rPr>
          <w:b w:val="0"/>
          <w:bCs w:val="0"/>
          <w:i/>
          <w:sz w:val="20"/>
          <w:szCs w:val="20"/>
        </w:rPr>
      </w:pPr>
      <w:r w:rsidRPr="00F33070">
        <w:rPr>
          <w:i/>
          <w:sz w:val="20"/>
          <w:szCs w:val="20"/>
        </w:rPr>
        <w:t xml:space="preserve">5.1 </w:t>
      </w:r>
      <w:proofErr w:type="spellStart"/>
      <w:r w:rsidRPr="00F33070">
        <w:rPr>
          <w:i/>
          <w:sz w:val="20"/>
          <w:szCs w:val="20"/>
        </w:rPr>
        <w:t>Haemoglobinopathy</w:t>
      </w:r>
      <w:proofErr w:type="spellEnd"/>
      <w:r w:rsidRPr="00F33070">
        <w:rPr>
          <w:i/>
          <w:sz w:val="20"/>
          <w:szCs w:val="20"/>
        </w:rPr>
        <w:t xml:space="preserve"> team (Consultant haematologists, Clinical Nurse Specialist and Clinical Health Psychologist) </w:t>
      </w:r>
      <w:r w:rsidRPr="00F33070">
        <w:rPr>
          <w:b w:val="0"/>
          <w:i/>
          <w:sz w:val="20"/>
          <w:szCs w:val="20"/>
        </w:rPr>
        <w:t>– Responsible for the care of these patients, developing and updating guidelines to be reflective of good practice and to deliver the training to ensure good safe care</w:t>
      </w:r>
      <w:r w:rsidR="007C4CC5" w:rsidRPr="00F33070">
        <w:rPr>
          <w:b w:val="0"/>
          <w:i/>
          <w:sz w:val="20"/>
          <w:szCs w:val="20"/>
        </w:rPr>
        <w:t>.</w:t>
      </w:r>
    </w:p>
    <w:p w:rsidR="00ED74C8" w:rsidRPr="00F33070" w:rsidRDefault="00ED74C8" w:rsidP="00ED74C8">
      <w:pPr>
        <w:pStyle w:val="BodyText"/>
        <w:kinsoku w:val="0"/>
        <w:overflowPunct w:val="0"/>
        <w:spacing w:before="11"/>
        <w:ind w:left="0"/>
        <w:rPr>
          <w:b/>
          <w:bCs/>
          <w:i/>
          <w:sz w:val="20"/>
          <w:szCs w:val="20"/>
        </w:rPr>
      </w:pPr>
    </w:p>
    <w:p w:rsidR="00ED74C8" w:rsidRPr="00F33070" w:rsidRDefault="00ED74C8" w:rsidP="00ED74C8">
      <w:pPr>
        <w:pStyle w:val="BodyText"/>
        <w:kinsoku w:val="0"/>
        <w:overflowPunct w:val="0"/>
        <w:jc w:val="both"/>
        <w:rPr>
          <w:i/>
          <w:sz w:val="20"/>
          <w:szCs w:val="20"/>
        </w:rPr>
      </w:pPr>
      <w:r w:rsidRPr="00F33070">
        <w:rPr>
          <w:b/>
          <w:bCs/>
          <w:i/>
          <w:sz w:val="20"/>
          <w:szCs w:val="20"/>
        </w:rPr>
        <w:t xml:space="preserve">5.2 Medical staff involved in the care of patients with SCD. </w:t>
      </w:r>
      <w:proofErr w:type="gramStart"/>
      <w:r w:rsidRPr="00F33070">
        <w:rPr>
          <w:bCs/>
          <w:i/>
          <w:sz w:val="20"/>
          <w:szCs w:val="20"/>
        </w:rPr>
        <w:t xml:space="preserve">Responsible with the oversight of the </w:t>
      </w:r>
      <w:proofErr w:type="spellStart"/>
      <w:r w:rsidRPr="00F33070">
        <w:rPr>
          <w:bCs/>
          <w:i/>
          <w:sz w:val="20"/>
          <w:szCs w:val="20"/>
        </w:rPr>
        <w:t>haemoglobinopathy</w:t>
      </w:r>
      <w:proofErr w:type="spellEnd"/>
      <w:r w:rsidRPr="00F33070">
        <w:rPr>
          <w:bCs/>
          <w:i/>
          <w:sz w:val="20"/>
          <w:szCs w:val="20"/>
        </w:rPr>
        <w:t xml:space="preserve"> team to deliver the care </w:t>
      </w:r>
      <w:r w:rsidR="008663ED" w:rsidRPr="00F33070">
        <w:rPr>
          <w:bCs/>
          <w:i/>
          <w:sz w:val="20"/>
          <w:szCs w:val="20"/>
        </w:rPr>
        <w:t>to</w:t>
      </w:r>
      <w:r w:rsidRPr="00F33070">
        <w:rPr>
          <w:bCs/>
          <w:i/>
          <w:sz w:val="20"/>
          <w:szCs w:val="20"/>
        </w:rPr>
        <w:t xml:space="preserve"> these patients in line with guidelines where possible.</w:t>
      </w:r>
      <w:proofErr w:type="gramEnd"/>
      <w:r w:rsidRPr="00F33070">
        <w:rPr>
          <w:bCs/>
          <w:i/>
          <w:sz w:val="20"/>
          <w:szCs w:val="20"/>
        </w:rPr>
        <w:t xml:space="preserve"> </w:t>
      </w:r>
    </w:p>
    <w:p w:rsidR="00ED74C8" w:rsidRPr="00F33070" w:rsidRDefault="00ED74C8" w:rsidP="00ED74C8">
      <w:pPr>
        <w:pStyle w:val="BodyText"/>
        <w:kinsoku w:val="0"/>
        <w:overflowPunct w:val="0"/>
        <w:ind w:left="0"/>
        <w:rPr>
          <w:b/>
          <w:bCs/>
          <w:i/>
          <w:sz w:val="20"/>
          <w:szCs w:val="20"/>
        </w:rPr>
      </w:pPr>
    </w:p>
    <w:p w:rsidR="00FC5932" w:rsidRPr="00F33070" w:rsidRDefault="00ED74C8" w:rsidP="007C4CC5">
      <w:pPr>
        <w:pStyle w:val="BodyText"/>
        <w:kinsoku w:val="0"/>
        <w:overflowPunct w:val="0"/>
        <w:spacing w:before="11"/>
        <w:ind w:left="639"/>
        <w:rPr>
          <w:bCs/>
          <w:i/>
          <w:sz w:val="20"/>
          <w:szCs w:val="20"/>
        </w:rPr>
      </w:pPr>
      <w:r w:rsidRPr="00F33070">
        <w:rPr>
          <w:b/>
          <w:bCs/>
          <w:i/>
          <w:sz w:val="20"/>
          <w:szCs w:val="20"/>
        </w:rPr>
        <w:t xml:space="preserve">5.3 Nursing staff and allied health professionals involved in the care of patients with SCD on wards, day unit and other areas of St George’s  </w:t>
      </w:r>
      <w:r w:rsidR="00AF64D5" w:rsidRPr="00F33070">
        <w:rPr>
          <w:bCs/>
          <w:i/>
          <w:sz w:val="20"/>
          <w:szCs w:val="20"/>
        </w:rPr>
        <w:t>r</w:t>
      </w:r>
      <w:r w:rsidRPr="00F33070">
        <w:rPr>
          <w:bCs/>
          <w:i/>
          <w:sz w:val="20"/>
          <w:szCs w:val="20"/>
        </w:rPr>
        <w:t xml:space="preserve">esponsible with the oversight of the </w:t>
      </w:r>
      <w:proofErr w:type="spellStart"/>
      <w:r w:rsidRPr="00F33070">
        <w:rPr>
          <w:bCs/>
          <w:i/>
          <w:sz w:val="20"/>
          <w:szCs w:val="20"/>
        </w:rPr>
        <w:t>haemoglobinopathy</w:t>
      </w:r>
      <w:proofErr w:type="spellEnd"/>
      <w:r w:rsidRPr="00F33070">
        <w:rPr>
          <w:bCs/>
          <w:i/>
          <w:sz w:val="20"/>
          <w:szCs w:val="20"/>
        </w:rPr>
        <w:t xml:space="preserve"> team to deliver the care of these patients in line with guidelines</w:t>
      </w:r>
      <w:r w:rsidR="00330144" w:rsidRPr="00F33070">
        <w:rPr>
          <w:bCs/>
          <w:i/>
          <w:sz w:val="20"/>
          <w:szCs w:val="20"/>
        </w:rPr>
        <w:t xml:space="preserve"> where possible</w:t>
      </w:r>
      <w:r w:rsidR="007C4CC5" w:rsidRPr="00F33070">
        <w:rPr>
          <w:bCs/>
          <w:i/>
          <w:sz w:val="20"/>
          <w:szCs w:val="20"/>
        </w:rPr>
        <w:t>.</w:t>
      </w:r>
    </w:p>
    <w:p w:rsidR="007C4CC5" w:rsidRDefault="007C4CC5"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F01986" w:rsidRDefault="00F01986" w:rsidP="007C4CC5">
      <w:pPr>
        <w:pStyle w:val="BodyText"/>
        <w:kinsoku w:val="0"/>
        <w:overflowPunct w:val="0"/>
        <w:spacing w:before="11"/>
        <w:ind w:left="639"/>
        <w:rPr>
          <w:b/>
          <w:bCs/>
        </w:rPr>
      </w:pPr>
    </w:p>
    <w:p w:rsidR="009D3B0F" w:rsidRDefault="009D3B0F">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rsidR="002D16C0" w:rsidRPr="002D16C0" w:rsidRDefault="000A505A" w:rsidP="00802AE5">
      <w:pPr>
        <w:pStyle w:val="ListParagraph"/>
        <w:numPr>
          <w:ilvl w:val="0"/>
          <w:numId w:val="18"/>
        </w:numPr>
        <w:tabs>
          <w:tab w:val="left" w:pos="640"/>
        </w:tabs>
        <w:kinsoku w:val="0"/>
        <w:overflowPunct w:val="0"/>
        <w:spacing w:line="276" w:lineRule="exact"/>
        <w:ind w:right="1"/>
        <w:rPr>
          <w:rFonts w:ascii="Arial" w:hAnsi="Arial" w:cs="Arial"/>
          <w:sz w:val="22"/>
          <w:szCs w:val="22"/>
        </w:rPr>
      </w:pPr>
      <w:r>
        <w:rPr>
          <w:rFonts w:ascii="Arial" w:hAnsi="Arial" w:cs="Arial"/>
          <w:b/>
          <w:bCs/>
          <w:sz w:val="22"/>
          <w:szCs w:val="22"/>
        </w:rPr>
        <w:lastRenderedPageBreak/>
        <w:t xml:space="preserve">    </w:t>
      </w:r>
      <w:r w:rsidR="00FC5932" w:rsidRPr="000A505A">
        <w:rPr>
          <w:rFonts w:ascii="Arial" w:hAnsi="Arial" w:cs="Arial"/>
          <w:b/>
          <w:bCs/>
          <w:sz w:val="22"/>
          <w:szCs w:val="22"/>
        </w:rPr>
        <w:t>Content</w:t>
      </w:r>
    </w:p>
    <w:p w:rsidR="00802AE5" w:rsidRPr="003B6573" w:rsidRDefault="00802AE5" w:rsidP="00802AE5">
      <w:pPr>
        <w:rPr>
          <w:rFonts w:ascii="Arial" w:hAnsi="Arial" w:cs="Arial"/>
          <w:sz w:val="22"/>
          <w:szCs w:val="22"/>
        </w:rPr>
      </w:pPr>
    </w:p>
    <w:p w:rsidR="00802AE5" w:rsidRPr="003B6573" w:rsidRDefault="00802AE5" w:rsidP="00802AE5">
      <w:pPr>
        <w:rPr>
          <w:rFonts w:ascii="Arial" w:hAnsi="Arial" w:cs="Arial"/>
          <w:sz w:val="22"/>
          <w:szCs w:val="22"/>
        </w:rPr>
      </w:pPr>
    </w:p>
    <w:p w:rsidR="00802AE5" w:rsidRPr="003B6573" w:rsidRDefault="00802AE5" w:rsidP="00802AE5">
      <w:pPr>
        <w:pStyle w:val="ListParagraph"/>
        <w:widowControl/>
        <w:numPr>
          <w:ilvl w:val="0"/>
          <w:numId w:val="22"/>
        </w:numPr>
        <w:autoSpaceDE/>
        <w:autoSpaceDN/>
        <w:adjustRightInd/>
        <w:spacing w:after="200" w:line="276" w:lineRule="auto"/>
        <w:contextualSpacing/>
        <w:rPr>
          <w:rFonts w:ascii="Arial" w:hAnsi="Arial" w:cs="Arial"/>
          <w:sz w:val="22"/>
          <w:szCs w:val="22"/>
        </w:rPr>
      </w:pPr>
      <w:r w:rsidRPr="003B6573">
        <w:rPr>
          <w:rFonts w:ascii="Arial" w:hAnsi="Arial" w:cs="Arial"/>
          <w:sz w:val="22"/>
          <w:szCs w:val="22"/>
        </w:rPr>
        <w:t xml:space="preserve">Patients with </w:t>
      </w:r>
      <w:r w:rsidRPr="003B6573">
        <w:rPr>
          <w:rFonts w:ascii="Arial" w:hAnsi="Arial" w:cs="Arial"/>
          <w:b/>
          <w:sz w:val="22"/>
          <w:szCs w:val="22"/>
        </w:rPr>
        <w:t xml:space="preserve">transfusion dependent </w:t>
      </w:r>
      <w:proofErr w:type="spellStart"/>
      <w:r w:rsidRPr="003B6573">
        <w:rPr>
          <w:rFonts w:ascii="Arial" w:hAnsi="Arial" w:cs="Arial"/>
          <w:b/>
          <w:sz w:val="22"/>
          <w:szCs w:val="22"/>
        </w:rPr>
        <w:t>thalassaemia</w:t>
      </w:r>
      <w:proofErr w:type="spellEnd"/>
      <w:r w:rsidRPr="003B6573">
        <w:rPr>
          <w:rFonts w:ascii="Arial" w:hAnsi="Arial" w:cs="Arial"/>
          <w:b/>
          <w:sz w:val="22"/>
          <w:szCs w:val="22"/>
        </w:rPr>
        <w:t xml:space="preserve">, </w:t>
      </w:r>
      <w:r w:rsidR="00F33070">
        <w:rPr>
          <w:rFonts w:ascii="Arial" w:hAnsi="Arial" w:cs="Arial"/>
          <w:b/>
          <w:sz w:val="22"/>
          <w:szCs w:val="22"/>
        </w:rPr>
        <w:t>(</w:t>
      </w:r>
      <w:r w:rsidRPr="003B6573">
        <w:rPr>
          <w:rFonts w:ascii="Arial" w:hAnsi="Arial" w:cs="Arial"/>
          <w:b/>
          <w:sz w:val="22"/>
          <w:szCs w:val="22"/>
        </w:rPr>
        <w:t>TDT</w:t>
      </w:r>
      <w:r w:rsidR="00F33070">
        <w:rPr>
          <w:rFonts w:ascii="Arial" w:hAnsi="Arial" w:cs="Arial"/>
          <w:b/>
          <w:sz w:val="22"/>
          <w:szCs w:val="22"/>
        </w:rPr>
        <w:t>,</w:t>
      </w:r>
      <w:r w:rsidR="00F33070" w:rsidRPr="00F33070">
        <w:rPr>
          <w:rFonts w:ascii="Arial" w:hAnsi="Arial" w:cs="Arial"/>
          <w:b/>
          <w:sz w:val="22"/>
          <w:szCs w:val="22"/>
        </w:rPr>
        <w:t xml:space="preserve"> </w:t>
      </w:r>
      <w:r w:rsidR="00F33070" w:rsidRPr="003B6573">
        <w:rPr>
          <w:rFonts w:ascii="Arial" w:hAnsi="Arial" w:cs="Arial"/>
          <w:b/>
          <w:sz w:val="22"/>
          <w:szCs w:val="22"/>
        </w:rPr>
        <w:t xml:space="preserve">β </w:t>
      </w:r>
      <w:proofErr w:type="spellStart"/>
      <w:r w:rsidR="00F33070" w:rsidRPr="003B6573">
        <w:rPr>
          <w:rFonts w:ascii="Arial" w:hAnsi="Arial" w:cs="Arial"/>
          <w:b/>
          <w:sz w:val="22"/>
          <w:szCs w:val="22"/>
        </w:rPr>
        <w:t>thalassaemia</w:t>
      </w:r>
      <w:proofErr w:type="spellEnd"/>
      <w:r w:rsidR="00F33070" w:rsidRPr="003B6573">
        <w:rPr>
          <w:rFonts w:ascii="Arial" w:hAnsi="Arial" w:cs="Arial"/>
          <w:b/>
          <w:sz w:val="22"/>
          <w:szCs w:val="22"/>
        </w:rPr>
        <w:t xml:space="preserve"> major</w:t>
      </w:r>
      <w:r w:rsidR="00F33070">
        <w:rPr>
          <w:rFonts w:ascii="Arial" w:hAnsi="Arial" w:cs="Arial"/>
          <w:b/>
          <w:sz w:val="22"/>
          <w:szCs w:val="22"/>
        </w:rPr>
        <w:t xml:space="preserve"> </w:t>
      </w:r>
      <w:r w:rsidRPr="003B6573">
        <w:rPr>
          <w:rFonts w:ascii="Arial" w:hAnsi="Arial" w:cs="Arial"/>
          <w:b/>
          <w:sz w:val="22"/>
          <w:szCs w:val="22"/>
        </w:rPr>
        <w:t xml:space="preserve">) </w:t>
      </w:r>
      <w:r w:rsidRPr="003B6573">
        <w:rPr>
          <w:rFonts w:ascii="Arial" w:hAnsi="Arial" w:cs="Arial"/>
          <w:sz w:val="22"/>
          <w:szCs w:val="22"/>
        </w:rPr>
        <w:t xml:space="preserve"> do not produce sufficient haemoglobin to sustain healthy growth and so require regular red cell transfusions, usually with a regimen of around 2-4 units every 2-4 weeks. The goal in these patients is to maintain a pre-transfusion </w:t>
      </w:r>
      <w:proofErr w:type="spellStart"/>
      <w:r w:rsidRPr="003B6573">
        <w:rPr>
          <w:rFonts w:ascii="Arial" w:hAnsi="Arial" w:cs="Arial"/>
          <w:sz w:val="22"/>
          <w:szCs w:val="22"/>
        </w:rPr>
        <w:t>Hb</w:t>
      </w:r>
      <w:proofErr w:type="spellEnd"/>
      <w:r w:rsidRPr="003B6573">
        <w:rPr>
          <w:rFonts w:ascii="Arial" w:hAnsi="Arial" w:cs="Arial"/>
          <w:sz w:val="22"/>
          <w:szCs w:val="22"/>
        </w:rPr>
        <w:t xml:space="preserve"> of greater than 95g/L to maintain good health, reduce bone marrow expansion and to minimise the development of iron overload.  </w:t>
      </w:r>
    </w:p>
    <w:p w:rsidR="00802AE5" w:rsidRPr="003B6573" w:rsidRDefault="00802AE5" w:rsidP="00802AE5">
      <w:pPr>
        <w:pStyle w:val="ListParagraph"/>
        <w:rPr>
          <w:rFonts w:ascii="Arial" w:hAnsi="Arial" w:cs="Arial"/>
          <w:sz w:val="22"/>
          <w:szCs w:val="22"/>
        </w:rPr>
      </w:pPr>
    </w:p>
    <w:p w:rsidR="00802AE5" w:rsidRPr="003B6573" w:rsidRDefault="00802AE5" w:rsidP="00802AE5">
      <w:pPr>
        <w:pStyle w:val="ListParagraph"/>
        <w:widowControl/>
        <w:numPr>
          <w:ilvl w:val="0"/>
          <w:numId w:val="22"/>
        </w:numPr>
        <w:autoSpaceDE/>
        <w:autoSpaceDN/>
        <w:adjustRightInd/>
        <w:spacing w:after="200" w:line="276" w:lineRule="auto"/>
        <w:contextualSpacing/>
        <w:rPr>
          <w:rFonts w:ascii="Arial" w:hAnsi="Arial" w:cs="Arial"/>
          <w:sz w:val="22"/>
          <w:szCs w:val="22"/>
        </w:rPr>
      </w:pPr>
      <w:r w:rsidRPr="003B6573">
        <w:rPr>
          <w:rFonts w:ascii="Arial" w:hAnsi="Arial" w:cs="Arial"/>
          <w:sz w:val="22"/>
          <w:szCs w:val="22"/>
        </w:rPr>
        <w:t xml:space="preserve">Patients with </w:t>
      </w:r>
      <w:r w:rsidR="009D3B0F" w:rsidRPr="003B6573">
        <w:rPr>
          <w:rFonts w:ascii="Arial" w:hAnsi="Arial" w:cs="Arial"/>
          <w:b/>
          <w:sz w:val="22"/>
          <w:szCs w:val="22"/>
        </w:rPr>
        <w:t>non-transfusion</w:t>
      </w:r>
      <w:r w:rsidRPr="003B6573">
        <w:rPr>
          <w:rFonts w:ascii="Arial" w:hAnsi="Arial" w:cs="Arial"/>
          <w:b/>
          <w:sz w:val="22"/>
          <w:szCs w:val="22"/>
        </w:rPr>
        <w:t xml:space="preserve"> dependent </w:t>
      </w:r>
      <w:proofErr w:type="spellStart"/>
      <w:r w:rsidRPr="003B6573">
        <w:rPr>
          <w:rFonts w:ascii="Arial" w:hAnsi="Arial" w:cs="Arial"/>
          <w:b/>
          <w:sz w:val="22"/>
          <w:szCs w:val="22"/>
        </w:rPr>
        <w:t>thalassaemia</w:t>
      </w:r>
      <w:proofErr w:type="spellEnd"/>
      <w:r w:rsidRPr="003B6573">
        <w:rPr>
          <w:rFonts w:ascii="Arial" w:hAnsi="Arial" w:cs="Arial"/>
          <w:b/>
          <w:sz w:val="22"/>
          <w:szCs w:val="22"/>
        </w:rPr>
        <w:t>,</w:t>
      </w:r>
      <w:r w:rsidR="00F33070">
        <w:rPr>
          <w:rFonts w:ascii="Arial" w:hAnsi="Arial" w:cs="Arial"/>
          <w:b/>
          <w:sz w:val="22"/>
          <w:szCs w:val="22"/>
        </w:rPr>
        <w:t xml:space="preserve"> (</w:t>
      </w:r>
      <w:r w:rsidRPr="003B6573">
        <w:rPr>
          <w:rFonts w:ascii="Arial" w:hAnsi="Arial" w:cs="Arial"/>
          <w:b/>
          <w:sz w:val="22"/>
          <w:szCs w:val="22"/>
        </w:rPr>
        <w:t>NTDT</w:t>
      </w:r>
      <w:r w:rsidR="00F33070">
        <w:rPr>
          <w:rFonts w:ascii="Arial" w:hAnsi="Arial" w:cs="Arial"/>
          <w:b/>
          <w:sz w:val="22"/>
          <w:szCs w:val="22"/>
        </w:rPr>
        <w:t>,</w:t>
      </w:r>
      <w:r w:rsidR="00F33070" w:rsidRPr="00F33070">
        <w:rPr>
          <w:rFonts w:ascii="Arial" w:hAnsi="Arial" w:cs="Arial"/>
          <w:b/>
          <w:sz w:val="22"/>
          <w:szCs w:val="22"/>
        </w:rPr>
        <w:t xml:space="preserve"> </w:t>
      </w:r>
      <w:r w:rsidR="00F33070" w:rsidRPr="003B6573">
        <w:rPr>
          <w:rFonts w:ascii="Arial" w:hAnsi="Arial" w:cs="Arial"/>
          <w:b/>
          <w:sz w:val="22"/>
          <w:szCs w:val="22"/>
        </w:rPr>
        <w:t xml:space="preserve">β </w:t>
      </w:r>
      <w:proofErr w:type="spellStart"/>
      <w:r w:rsidR="00F33070" w:rsidRPr="003B6573">
        <w:rPr>
          <w:rFonts w:ascii="Arial" w:hAnsi="Arial" w:cs="Arial"/>
          <w:b/>
          <w:sz w:val="22"/>
          <w:szCs w:val="22"/>
        </w:rPr>
        <w:t>thalassaemia</w:t>
      </w:r>
      <w:proofErr w:type="spellEnd"/>
      <w:r w:rsidR="00F33070" w:rsidRPr="003B6573">
        <w:rPr>
          <w:rFonts w:ascii="Arial" w:hAnsi="Arial" w:cs="Arial"/>
          <w:b/>
          <w:sz w:val="22"/>
          <w:szCs w:val="22"/>
        </w:rPr>
        <w:t xml:space="preserve"> </w:t>
      </w:r>
      <w:proofErr w:type="spellStart"/>
      <w:r w:rsidR="00F33070" w:rsidRPr="003B6573">
        <w:rPr>
          <w:rFonts w:ascii="Arial" w:hAnsi="Arial" w:cs="Arial"/>
          <w:b/>
          <w:sz w:val="22"/>
          <w:szCs w:val="22"/>
        </w:rPr>
        <w:t>intermedia</w:t>
      </w:r>
      <w:proofErr w:type="spellEnd"/>
      <w:r w:rsidRPr="003B6573">
        <w:rPr>
          <w:rFonts w:ascii="Arial" w:hAnsi="Arial" w:cs="Arial"/>
          <w:b/>
          <w:sz w:val="22"/>
          <w:szCs w:val="22"/>
        </w:rPr>
        <w:t xml:space="preserve">) or </w:t>
      </w:r>
      <w:proofErr w:type="spellStart"/>
      <w:r w:rsidRPr="003B6573">
        <w:rPr>
          <w:rFonts w:ascii="Arial" w:hAnsi="Arial" w:cs="Arial"/>
          <w:b/>
          <w:sz w:val="22"/>
          <w:szCs w:val="22"/>
        </w:rPr>
        <w:t>HbH</w:t>
      </w:r>
      <w:proofErr w:type="spellEnd"/>
      <w:r w:rsidRPr="003B6573">
        <w:rPr>
          <w:rFonts w:ascii="Arial" w:hAnsi="Arial" w:cs="Arial"/>
          <w:sz w:val="22"/>
          <w:szCs w:val="22"/>
        </w:rPr>
        <w:t xml:space="preserve"> </w:t>
      </w:r>
      <w:r w:rsidRPr="003B6573">
        <w:rPr>
          <w:rFonts w:ascii="Arial" w:hAnsi="Arial" w:cs="Arial"/>
          <w:b/>
          <w:sz w:val="22"/>
          <w:szCs w:val="22"/>
        </w:rPr>
        <w:t>disease</w:t>
      </w:r>
      <w:r w:rsidRPr="003B6573">
        <w:rPr>
          <w:rFonts w:ascii="Arial" w:hAnsi="Arial" w:cs="Arial"/>
          <w:sz w:val="22"/>
          <w:szCs w:val="22"/>
        </w:rPr>
        <w:t xml:space="preserve"> </w:t>
      </w:r>
      <w:r w:rsidRPr="003B6573">
        <w:rPr>
          <w:rFonts w:ascii="Arial" w:hAnsi="Arial" w:cs="Arial"/>
          <w:b/>
          <w:sz w:val="22"/>
          <w:szCs w:val="22"/>
        </w:rPr>
        <w:t xml:space="preserve">(α </w:t>
      </w:r>
      <w:proofErr w:type="spellStart"/>
      <w:r w:rsidRPr="003B6573">
        <w:rPr>
          <w:rFonts w:ascii="Arial" w:hAnsi="Arial" w:cs="Arial"/>
          <w:b/>
          <w:sz w:val="22"/>
          <w:szCs w:val="22"/>
        </w:rPr>
        <w:t>thalassaemia</w:t>
      </w:r>
      <w:proofErr w:type="spellEnd"/>
      <w:r w:rsidRPr="003B6573">
        <w:rPr>
          <w:rFonts w:ascii="Arial" w:hAnsi="Arial" w:cs="Arial"/>
          <w:b/>
          <w:sz w:val="22"/>
          <w:szCs w:val="22"/>
        </w:rPr>
        <w:t>)</w:t>
      </w:r>
      <w:r w:rsidRPr="003B6573">
        <w:rPr>
          <w:rFonts w:ascii="Arial" w:hAnsi="Arial" w:cs="Arial"/>
          <w:sz w:val="22"/>
          <w:szCs w:val="22"/>
        </w:rPr>
        <w:t xml:space="preserve"> may need intermittent transfusions at times of physiological stress or</w:t>
      </w:r>
      <w:r w:rsidR="009D3B0F">
        <w:rPr>
          <w:rFonts w:ascii="Arial" w:hAnsi="Arial" w:cs="Arial"/>
          <w:sz w:val="22"/>
          <w:szCs w:val="22"/>
        </w:rPr>
        <w:t xml:space="preserve"> increased metabolic </w:t>
      </w:r>
      <w:r w:rsidRPr="003B6573">
        <w:rPr>
          <w:rFonts w:ascii="Arial" w:hAnsi="Arial" w:cs="Arial"/>
          <w:sz w:val="22"/>
          <w:szCs w:val="22"/>
        </w:rPr>
        <w:t>need (</w:t>
      </w:r>
      <w:proofErr w:type="spellStart"/>
      <w:r w:rsidRPr="003B6573">
        <w:rPr>
          <w:rFonts w:ascii="Arial" w:hAnsi="Arial" w:cs="Arial"/>
          <w:sz w:val="22"/>
          <w:szCs w:val="22"/>
        </w:rPr>
        <w:t>eg</w:t>
      </w:r>
      <w:proofErr w:type="spellEnd"/>
      <w:r w:rsidRPr="003B6573">
        <w:rPr>
          <w:rFonts w:ascii="Arial" w:hAnsi="Arial" w:cs="Arial"/>
          <w:sz w:val="22"/>
          <w:szCs w:val="22"/>
        </w:rPr>
        <w:t xml:space="preserve"> pregnancy, puberty) – these patients’ requirements will be decided on individual clinical grounds.</w:t>
      </w:r>
    </w:p>
    <w:p w:rsidR="00802AE5" w:rsidRPr="003B6573" w:rsidRDefault="00802AE5" w:rsidP="00802AE5">
      <w:pPr>
        <w:pStyle w:val="ListParagraph"/>
        <w:rPr>
          <w:rFonts w:ascii="Arial" w:hAnsi="Arial" w:cs="Arial"/>
          <w:sz w:val="22"/>
          <w:szCs w:val="22"/>
        </w:rPr>
      </w:pPr>
    </w:p>
    <w:p w:rsidR="00802AE5" w:rsidRDefault="00802AE5" w:rsidP="00802AE5">
      <w:pPr>
        <w:pStyle w:val="ListParagraph"/>
        <w:rPr>
          <w:rFonts w:ascii="Arial" w:hAnsi="Arial" w:cs="Arial"/>
          <w:sz w:val="22"/>
          <w:szCs w:val="22"/>
        </w:rPr>
      </w:pPr>
      <w:r w:rsidRPr="003B6573">
        <w:rPr>
          <w:rFonts w:ascii="Arial" w:hAnsi="Arial" w:cs="Arial"/>
          <w:sz w:val="22"/>
          <w:szCs w:val="22"/>
        </w:rPr>
        <w:t xml:space="preserve">All </w:t>
      </w:r>
      <w:r w:rsidRPr="003B6573">
        <w:rPr>
          <w:rFonts w:ascii="Arial" w:hAnsi="Arial" w:cs="Arial"/>
          <w:b/>
          <w:sz w:val="22"/>
          <w:szCs w:val="22"/>
        </w:rPr>
        <w:t>unplanned transfusions</w:t>
      </w:r>
      <w:r w:rsidRPr="003B6573">
        <w:rPr>
          <w:rFonts w:ascii="Arial" w:hAnsi="Arial" w:cs="Arial"/>
          <w:sz w:val="22"/>
          <w:szCs w:val="22"/>
        </w:rPr>
        <w:t xml:space="preserve"> for </w:t>
      </w:r>
      <w:r w:rsidR="009D3B0F" w:rsidRPr="003B6573">
        <w:rPr>
          <w:rFonts w:ascii="Arial" w:hAnsi="Arial" w:cs="Arial"/>
          <w:sz w:val="22"/>
          <w:szCs w:val="22"/>
        </w:rPr>
        <w:t>patient</w:t>
      </w:r>
      <w:r w:rsidR="009D3B0F">
        <w:rPr>
          <w:rFonts w:ascii="Arial" w:hAnsi="Arial" w:cs="Arial"/>
          <w:sz w:val="22"/>
          <w:szCs w:val="22"/>
        </w:rPr>
        <w:t>s with</w:t>
      </w:r>
      <w:r w:rsidRPr="003B6573">
        <w:rPr>
          <w:rFonts w:ascii="Arial" w:hAnsi="Arial" w:cs="Arial"/>
          <w:sz w:val="22"/>
          <w:szCs w:val="22"/>
        </w:rPr>
        <w:t xml:space="preserve"> </w:t>
      </w:r>
      <w:proofErr w:type="spellStart"/>
      <w:r w:rsidRPr="003B6573">
        <w:rPr>
          <w:rFonts w:ascii="Arial" w:hAnsi="Arial" w:cs="Arial"/>
          <w:sz w:val="22"/>
          <w:szCs w:val="22"/>
        </w:rPr>
        <w:t>thalassaemia</w:t>
      </w:r>
      <w:proofErr w:type="spellEnd"/>
      <w:r w:rsidRPr="003B6573">
        <w:rPr>
          <w:rFonts w:ascii="Arial" w:hAnsi="Arial" w:cs="Arial"/>
          <w:sz w:val="22"/>
          <w:szCs w:val="22"/>
        </w:rPr>
        <w:t xml:space="preserve"> must be discussed with the haematology team caring for the patient. </w:t>
      </w:r>
    </w:p>
    <w:p w:rsidR="009D3B0F" w:rsidRPr="003B6573" w:rsidRDefault="009D3B0F" w:rsidP="00802AE5">
      <w:pPr>
        <w:pStyle w:val="ListParagraph"/>
        <w:rPr>
          <w:rFonts w:ascii="Arial" w:hAnsi="Arial" w:cs="Arial"/>
          <w:sz w:val="22"/>
          <w:szCs w:val="22"/>
        </w:rPr>
      </w:pPr>
    </w:p>
    <w:p w:rsidR="00802AE5" w:rsidRPr="003B6573" w:rsidRDefault="00802AE5" w:rsidP="00802AE5">
      <w:pPr>
        <w:rPr>
          <w:rFonts w:ascii="Arial" w:hAnsi="Arial" w:cs="Arial"/>
          <w:sz w:val="22"/>
          <w:szCs w:val="22"/>
        </w:rPr>
      </w:pPr>
      <w:r w:rsidRPr="003B6573">
        <w:rPr>
          <w:rFonts w:ascii="Arial" w:hAnsi="Arial" w:cs="Arial"/>
          <w:sz w:val="22"/>
          <w:szCs w:val="22"/>
        </w:rPr>
        <w:t xml:space="preserve">The </w:t>
      </w:r>
      <w:r w:rsidRPr="003B6573">
        <w:rPr>
          <w:rFonts w:ascii="Arial" w:hAnsi="Arial" w:cs="Arial"/>
          <w:b/>
          <w:sz w:val="22"/>
          <w:szCs w:val="22"/>
        </w:rPr>
        <w:t>blood transfusion laboratory</w:t>
      </w:r>
      <w:r w:rsidRPr="003B6573">
        <w:rPr>
          <w:rFonts w:ascii="Arial" w:hAnsi="Arial" w:cs="Arial"/>
          <w:sz w:val="22"/>
          <w:szCs w:val="22"/>
        </w:rPr>
        <w:t xml:space="preserve"> must be made aware that the recipient patient has </w:t>
      </w:r>
      <w:proofErr w:type="spellStart"/>
      <w:r w:rsidRPr="003B6573">
        <w:rPr>
          <w:rFonts w:ascii="Arial" w:hAnsi="Arial" w:cs="Arial"/>
          <w:sz w:val="22"/>
          <w:szCs w:val="22"/>
        </w:rPr>
        <w:t>thalassaemia</w:t>
      </w:r>
      <w:proofErr w:type="spellEnd"/>
      <w:r w:rsidRPr="003B6573">
        <w:rPr>
          <w:rFonts w:ascii="Arial" w:hAnsi="Arial" w:cs="Arial"/>
          <w:sz w:val="22"/>
          <w:szCs w:val="22"/>
        </w:rPr>
        <w:t xml:space="preserve"> so that extended </w:t>
      </w:r>
      <w:proofErr w:type="spellStart"/>
      <w:r w:rsidRPr="003B6573">
        <w:rPr>
          <w:rFonts w:ascii="Arial" w:hAnsi="Arial" w:cs="Arial"/>
          <w:sz w:val="22"/>
          <w:szCs w:val="22"/>
        </w:rPr>
        <w:t>phenotyping</w:t>
      </w:r>
      <w:proofErr w:type="spellEnd"/>
      <w:r w:rsidRPr="003B6573">
        <w:rPr>
          <w:rFonts w:ascii="Arial" w:hAnsi="Arial" w:cs="Arial"/>
          <w:sz w:val="22"/>
          <w:szCs w:val="22"/>
        </w:rPr>
        <w:t xml:space="preserve"> can be done and appropriately </w:t>
      </w:r>
      <w:proofErr w:type="spellStart"/>
      <w:r w:rsidRPr="003B6573">
        <w:rPr>
          <w:rFonts w:ascii="Arial" w:hAnsi="Arial" w:cs="Arial"/>
          <w:sz w:val="22"/>
          <w:szCs w:val="22"/>
        </w:rPr>
        <w:t>crossmatched</w:t>
      </w:r>
      <w:proofErr w:type="spellEnd"/>
      <w:r w:rsidRPr="003B6573">
        <w:rPr>
          <w:rFonts w:ascii="Arial" w:hAnsi="Arial" w:cs="Arial"/>
          <w:sz w:val="22"/>
          <w:szCs w:val="22"/>
        </w:rPr>
        <w:t xml:space="preserve"> and sickle negative blood can be provided. These patients are not suitable for rapid cross match.</w:t>
      </w:r>
    </w:p>
    <w:p w:rsidR="00802AE5" w:rsidRPr="003B6573" w:rsidRDefault="00802AE5" w:rsidP="00802AE5">
      <w:pPr>
        <w:pStyle w:val="ListParagraph"/>
        <w:rPr>
          <w:rFonts w:ascii="Arial" w:hAnsi="Arial" w:cs="Arial"/>
          <w:sz w:val="22"/>
          <w:szCs w:val="22"/>
        </w:rPr>
      </w:pPr>
    </w:p>
    <w:p w:rsidR="00802AE5" w:rsidRPr="003B6573" w:rsidRDefault="00802AE5" w:rsidP="00802AE5">
      <w:pPr>
        <w:rPr>
          <w:rFonts w:ascii="Arial" w:hAnsi="Arial" w:cs="Arial"/>
          <w:sz w:val="22"/>
          <w:szCs w:val="22"/>
        </w:rPr>
      </w:pPr>
      <w:r w:rsidRPr="003B6573">
        <w:rPr>
          <w:rFonts w:ascii="Arial" w:hAnsi="Arial" w:cs="Arial"/>
          <w:sz w:val="22"/>
          <w:szCs w:val="22"/>
        </w:rPr>
        <w:t xml:space="preserve">All patients with a </w:t>
      </w:r>
      <w:proofErr w:type="spellStart"/>
      <w:r w:rsidRPr="003B6573">
        <w:rPr>
          <w:rFonts w:ascii="Arial" w:hAnsi="Arial" w:cs="Arial"/>
          <w:sz w:val="22"/>
          <w:szCs w:val="22"/>
        </w:rPr>
        <w:t>haemoglobinopathy</w:t>
      </w:r>
      <w:proofErr w:type="spellEnd"/>
      <w:r w:rsidRPr="003B6573">
        <w:rPr>
          <w:rFonts w:ascii="Arial" w:hAnsi="Arial" w:cs="Arial"/>
          <w:sz w:val="22"/>
          <w:szCs w:val="22"/>
        </w:rPr>
        <w:t xml:space="preserve"> should, at their first engagement with the hospital, have a sample sent to the blood transfusion laboratory for a full, extended red cell antigen phenotype (and genotype where possible) as well as the standard ABO and Rh blood group.</w:t>
      </w:r>
    </w:p>
    <w:p w:rsidR="00200884" w:rsidRPr="00200884" w:rsidRDefault="00200884" w:rsidP="00200884">
      <w:pPr>
        <w:pStyle w:val="ListParagraph"/>
        <w:tabs>
          <w:tab w:val="left" w:pos="640"/>
        </w:tabs>
        <w:kinsoku w:val="0"/>
        <w:overflowPunct w:val="0"/>
        <w:spacing w:line="276" w:lineRule="exact"/>
        <w:ind w:left="360" w:right="1"/>
        <w:rPr>
          <w:rFonts w:ascii="Arial" w:hAnsi="Arial" w:cs="Arial"/>
          <w:sz w:val="22"/>
          <w:szCs w:val="22"/>
        </w:rPr>
      </w:pPr>
    </w:p>
    <w:p w:rsidR="00802AE5" w:rsidRPr="003B6573" w:rsidRDefault="00802AE5" w:rsidP="00802AE5">
      <w:pPr>
        <w:spacing w:after="200" w:line="276" w:lineRule="auto"/>
        <w:rPr>
          <w:rFonts w:ascii="Arial" w:hAnsi="Arial" w:cs="Arial"/>
          <w:b/>
          <w:sz w:val="22"/>
          <w:szCs w:val="22"/>
          <w:u w:val="single"/>
        </w:rPr>
      </w:pPr>
      <w:r w:rsidRPr="003B6573">
        <w:rPr>
          <w:rFonts w:ascii="Arial" w:hAnsi="Arial" w:cs="Arial"/>
          <w:b/>
          <w:sz w:val="22"/>
          <w:szCs w:val="22"/>
          <w:u w:val="single"/>
        </w:rPr>
        <w:t xml:space="preserve">INDICATIONS FOR TOP UP TRANSFUSIONS </w:t>
      </w:r>
    </w:p>
    <w:p w:rsidR="00802AE5" w:rsidRPr="003B6573" w:rsidRDefault="00802AE5" w:rsidP="00802AE5">
      <w:pPr>
        <w:ind w:left="720"/>
        <w:rPr>
          <w:rFonts w:ascii="Arial" w:hAnsi="Arial" w:cs="Arial"/>
          <w:sz w:val="22"/>
          <w:szCs w:val="22"/>
          <w:u w:val="single"/>
        </w:rPr>
      </w:pPr>
      <w:proofErr w:type="gramStart"/>
      <w:r w:rsidRPr="003B6573">
        <w:rPr>
          <w:rFonts w:ascii="Arial" w:hAnsi="Arial" w:cs="Arial"/>
          <w:sz w:val="22"/>
          <w:szCs w:val="22"/>
          <w:u w:val="single"/>
        </w:rPr>
        <w:t>β</w:t>
      </w:r>
      <w:proofErr w:type="gramEnd"/>
      <w:r w:rsidRPr="003B6573">
        <w:rPr>
          <w:rFonts w:ascii="Arial" w:hAnsi="Arial" w:cs="Arial"/>
          <w:sz w:val="22"/>
          <w:szCs w:val="22"/>
          <w:u w:val="single"/>
        </w:rPr>
        <w:t xml:space="preserve"> THALASSAEMIA</w:t>
      </w:r>
      <w:r w:rsidR="00F236DF">
        <w:rPr>
          <w:rFonts w:ascii="Arial" w:hAnsi="Arial" w:cs="Arial"/>
          <w:sz w:val="22"/>
          <w:szCs w:val="22"/>
          <w:u w:val="single"/>
        </w:rPr>
        <w:t xml:space="preserve"> </w:t>
      </w:r>
      <w:r w:rsidRPr="003B6573">
        <w:rPr>
          <w:rFonts w:ascii="Arial" w:hAnsi="Arial" w:cs="Arial"/>
          <w:sz w:val="22"/>
          <w:szCs w:val="22"/>
          <w:u w:val="single"/>
        </w:rPr>
        <w:t xml:space="preserve"> </w:t>
      </w:r>
    </w:p>
    <w:p w:rsidR="00802AE5" w:rsidRPr="003B6573" w:rsidRDefault="00802AE5" w:rsidP="00802AE5">
      <w:pPr>
        <w:ind w:left="720"/>
        <w:rPr>
          <w:rFonts w:ascii="Arial" w:hAnsi="Arial" w:cs="Arial"/>
          <w:sz w:val="22"/>
          <w:szCs w:val="22"/>
        </w:rPr>
      </w:pPr>
    </w:p>
    <w:p w:rsidR="00802AE5" w:rsidRPr="003B6573" w:rsidRDefault="00802AE5" w:rsidP="00802AE5">
      <w:pPr>
        <w:pStyle w:val="ListParagraph"/>
        <w:widowControl/>
        <w:numPr>
          <w:ilvl w:val="0"/>
          <w:numId w:val="23"/>
        </w:numPr>
        <w:autoSpaceDE/>
        <w:autoSpaceDN/>
        <w:adjustRightInd/>
        <w:spacing w:after="200" w:line="276" w:lineRule="auto"/>
        <w:contextualSpacing/>
        <w:rPr>
          <w:rFonts w:ascii="Arial" w:hAnsi="Arial" w:cs="Arial"/>
          <w:sz w:val="22"/>
          <w:szCs w:val="22"/>
        </w:rPr>
      </w:pPr>
      <w:r w:rsidRPr="003B6573">
        <w:rPr>
          <w:rFonts w:ascii="Arial" w:hAnsi="Arial" w:cs="Arial"/>
          <w:sz w:val="22"/>
          <w:szCs w:val="22"/>
        </w:rPr>
        <w:t xml:space="preserve">As  part of regular transfusion programme or if </w:t>
      </w:r>
      <w:proofErr w:type="spellStart"/>
      <w:r w:rsidRPr="003B6573">
        <w:rPr>
          <w:rFonts w:ascii="Arial" w:hAnsi="Arial" w:cs="Arial"/>
          <w:sz w:val="22"/>
          <w:szCs w:val="22"/>
        </w:rPr>
        <w:t>Hb</w:t>
      </w:r>
      <w:proofErr w:type="spellEnd"/>
      <w:r w:rsidRPr="003B6573">
        <w:rPr>
          <w:rFonts w:ascii="Arial" w:hAnsi="Arial" w:cs="Arial"/>
          <w:sz w:val="22"/>
          <w:szCs w:val="22"/>
        </w:rPr>
        <w:t xml:space="preserve"> has fallen less than 95 g/L in TDT</w:t>
      </w:r>
    </w:p>
    <w:p w:rsidR="00802AE5" w:rsidRPr="003B6573" w:rsidRDefault="00802AE5" w:rsidP="00802AE5">
      <w:pPr>
        <w:pStyle w:val="ListParagraph"/>
        <w:widowControl/>
        <w:numPr>
          <w:ilvl w:val="0"/>
          <w:numId w:val="23"/>
        </w:numPr>
        <w:autoSpaceDE/>
        <w:autoSpaceDN/>
        <w:adjustRightInd/>
        <w:spacing w:after="200" w:line="276" w:lineRule="auto"/>
        <w:contextualSpacing/>
        <w:rPr>
          <w:rFonts w:ascii="Arial" w:hAnsi="Arial" w:cs="Arial"/>
          <w:sz w:val="22"/>
          <w:szCs w:val="22"/>
        </w:rPr>
      </w:pPr>
      <w:r w:rsidRPr="003B6573">
        <w:rPr>
          <w:rFonts w:ascii="Arial" w:hAnsi="Arial" w:cs="Arial"/>
          <w:sz w:val="22"/>
          <w:szCs w:val="22"/>
        </w:rPr>
        <w:t xml:space="preserve">At specific times for those with NTDT when a higher </w:t>
      </w:r>
      <w:proofErr w:type="spellStart"/>
      <w:r w:rsidRPr="003B6573">
        <w:rPr>
          <w:rFonts w:ascii="Arial" w:hAnsi="Arial" w:cs="Arial"/>
          <w:sz w:val="22"/>
          <w:szCs w:val="22"/>
        </w:rPr>
        <w:t>Hb</w:t>
      </w:r>
      <w:proofErr w:type="spellEnd"/>
      <w:r w:rsidRPr="003B6573">
        <w:rPr>
          <w:rFonts w:ascii="Arial" w:hAnsi="Arial" w:cs="Arial"/>
          <w:sz w:val="22"/>
          <w:szCs w:val="22"/>
        </w:rPr>
        <w:t xml:space="preserve"> is required </w:t>
      </w:r>
    </w:p>
    <w:p w:rsidR="00802AE5" w:rsidRPr="003B6573" w:rsidRDefault="00802AE5" w:rsidP="00802AE5">
      <w:pPr>
        <w:rPr>
          <w:rFonts w:ascii="Arial" w:hAnsi="Arial" w:cs="Arial"/>
          <w:sz w:val="22"/>
          <w:szCs w:val="22"/>
        </w:rPr>
      </w:pPr>
    </w:p>
    <w:p w:rsidR="00F236DF" w:rsidRPr="00F236DF" w:rsidRDefault="00F236DF" w:rsidP="00802AE5">
      <w:pPr>
        <w:spacing w:after="200" w:line="276" w:lineRule="auto"/>
        <w:rPr>
          <w:rFonts w:ascii="Arial" w:hAnsi="Arial" w:cs="Arial"/>
          <w:sz w:val="22"/>
          <w:szCs w:val="22"/>
        </w:rPr>
      </w:pPr>
      <w:r w:rsidRPr="00F236DF">
        <w:rPr>
          <w:rFonts w:ascii="Arial" w:hAnsi="Arial" w:cs="Arial"/>
          <w:sz w:val="22"/>
          <w:szCs w:val="22"/>
          <w:u w:val="single"/>
        </w:rPr>
        <w:t>Patients with TDT receiving regular transfusions</w:t>
      </w:r>
      <w:r w:rsidRPr="00F236DF">
        <w:rPr>
          <w:rFonts w:ascii="Arial" w:hAnsi="Arial" w:cs="Arial"/>
          <w:sz w:val="22"/>
          <w:szCs w:val="22"/>
        </w:rPr>
        <w:t xml:space="preserve"> are managed on the </w:t>
      </w:r>
      <w:proofErr w:type="spellStart"/>
      <w:r w:rsidRPr="00F236DF">
        <w:rPr>
          <w:rFonts w:ascii="Arial" w:hAnsi="Arial" w:cs="Arial"/>
          <w:sz w:val="22"/>
          <w:szCs w:val="22"/>
        </w:rPr>
        <w:t>ruth</w:t>
      </w:r>
      <w:proofErr w:type="spellEnd"/>
      <w:r w:rsidRPr="00F236DF">
        <w:rPr>
          <w:rFonts w:ascii="Arial" w:hAnsi="Arial" w:cs="Arial"/>
          <w:sz w:val="22"/>
          <w:szCs w:val="22"/>
        </w:rPr>
        <w:t xml:space="preserve"> </w:t>
      </w:r>
      <w:proofErr w:type="spellStart"/>
      <w:r w:rsidRPr="00F236DF">
        <w:rPr>
          <w:rFonts w:ascii="Arial" w:hAnsi="Arial" w:cs="Arial"/>
          <w:sz w:val="22"/>
          <w:szCs w:val="22"/>
        </w:rPr>
        <w:t>myles</w:t>
      </w:r>
      <w:proofErr w:type="spellEnd"/>
      <w:r w:rsidRPr="00F236DF">
        <w:rPr>
          <w:rFonts w:ascii="Arial" w:hAnsi="Arial" w:cs="Arial"/>
          <w:sz w:val="22"/>
          <w:szCs w:val="22"/>
        </w:rPr>
        <w:t xml:space="preserve"> day unit. Monitoring should include review of pre transfusion </w:t>
      </w:r>
      <w:proofErr w:type="spellStart"/>
      <w:r w:rsidRPr="00F236DF">
        <w:rPr>
          <w:rFonts w:ascii="Arial" w:hAnsi="Arial" w:cs="Arial"/>
          <w:sz w:val="22"/>
          <w:szCs w:val="22"/>
        </w:rPr>
        <w:t>Hb</w:t>
      </w:r>
      <w:proofErr w:type="spellEnd"/>
      <w:r w:rsidRPr="00F236DF">
        <w:rPr>
          <w:rFonts w:ascii="Arial" w:hAnsi="Arial" w:cs="Arial"/>
          <w:sz w:val="22"/>
          <w:szCs w:val="22"/>
        </w:rPr>
        <w:t xml:space="preserve"> levels </w:t>
      </w:r>
      <w:r>
        <w:rPr>
          <w:rFonts w:ascii="Arial" w:hAnsi="Arial" w:cs="Arial"/>
          <w:sz w:val="22"/>
          <w:szCs w:val="22"/>
        </w:rPr>
        <w:t xml:space="preserve">with an aim for the pre transfusion </w:t>
      </w:r>
      <w:proofErr w:type="spellStart"/>
      <w:r>
        <w:rPr>
          <w:rFonts w:ascii="Arial" w:hAnsi="Arial" w:cs="Arial"/>
          <w:sz w:val="22"/>
          <w:szCs w:val="22"/>
        </w:rPr>
        <w:t>Hb</w:t>
      </w:r>
      <w:proofErr w:type="spellEnd"/>
      <w:r>
        <w:rPr>
          <w:rFonts w:ascii="Arial" w:hAnsi="Arial" w:cs="Arial"/>
          <w:sz w:val="22"/>
          <w:szCs w:val="22"/>
        </w:rPr>
        <w:t xml:space="preserve"> to be &gt;95g/L </w:t>
      </w:r>
      <w:r w:rsidRPr="00F236DF">
        <w:rPr>
          <w:rFonts w:ascii="Arial" w:hAnsi="Arial" w:cs="Arial"/>
          <w:sz w:val="22"/>
          <w:szCs w:val="22"/>
        </w:rPr>
        <w:t>as well as ferritin levels</w:t>
      </w:r>
    </w:p>
    <w:p w:rsidR="00F33070" w:rsidRDefault="00F236DF" w:rsidP="00802AE5">
      <w:pPr>
        <w:spacing w:after="200" w:line="276" w:lineRule="auto"/>
        <w:rPr>
          <w:rFonts w:ascii="Arial" w:hAnsi="Arial" w:cs="Arial"/>
          <w:b/>
          <w:sz w:val="22"/>
          <w:szCs w:val="22"/>
          <w:u w:val="single"/>
        </w:rPr>
      </w:pPr>
      <w:r w:rsidRPr="00F236DF">
        <w:rPr>
          <w:rFonts w:ascii="Arial" w:hAnsi="Arial" w:cs="Arial"/>
          <w:sz w:val="22"/>
          <w:szCs w:val="22"/>
        </w:rPr>
        <w:t>Venous access is usually peripheral with the aid of ultrasound guidance and should be achieved within 3 attempts (though if more than once is required regularly this should be escalated). Wherever possible ports and indwelling central lines should be avoided in patients with TDT due to increased risk of line thrombosis and infection</w:t>
      </w:r>
      <w:r>
        <w:rPr>
          <w:rFonts w:ascii="Arial" w:hAnsi="Arial" w:cs="Arial"/>
          <w:b/>
          <w:sz w:val="22"/>
          <w:szCs w:val="22"/>
          <w:u w:val="single"/>
        </w:rPr>
        <w:t xml:space="preserve"> </w:t>
      </w:r>
    </w:p>
    <w:p w:rsidR="00F33070" w:rsidRDefault="00F33070">
      <w:pPr>
        <w:widowControl/>
        <w:autoSpaceDE/>
        <w:autoSpaceDN/>
        <w:adjustRightInd/>
        <w:spacing w:after="200" w:line="276" w:lineRule="auto"/>
        <w:rPr>
          <w:rFonts w:ascii="Arial" w:hAnsi="Arial" w:cs="Arial"/>
          <w:b/>
          <w:sz w:val="22"/>
          <w:szCs w:val="22"/>
          <w:u w:val="single"/>
        </w:rPr>
      </w:pPr>
      <w:r>
        <w:rPr>
          <w:rFonts w:ascii="Arial" w:hAnsi="Arial" w:cs="Arial"/>
          <w:b/>
          <w:sz w:val="22"/>
          <w:szCs w:val="22"/>
          <w:u w:val="single"/>
        </w:rPr>
        <w:br w:type="page"/>
      </w:r>
    </w:p>
    <w:p w:rsidR="00F33070" w:rsidRDefault="00F33070" w:rsidP="00802AE5">
      <w:pPr>
        <w:spacing w:after="200" w:line="276" w:lineRule="auto"/>
        <w:rPr>
          <w:rFonts w:ascii="Arial" w:hAnsi="Arial" w:cs="Arial"/>
          <w:b/>
          <w:sz w:val="22"/>
          <w:szCs w:val="22"/>
          <w:u w:val="single"/>
        </w:rPr>
      </w:pPr>
    </w:p>
    <w:p w:rsidR="00FC5932" w:rsidRPr="00C96A81" w:rsidRDefault="002A1369" w:rsidP="002A1369">
      <w:pPr>
        <w:pStyle w:val="Heading2"/>
        <w:numPr>
          <w:ilvl w:val="0"/>
          <w:numId w:val="20"/>
        </w:numPr>
        <w:tabs>
          <w:tab w:val="left" w:pos="636"/>
        </w:tabs>
        <w:kinsoku w:val="0"/>
        <w:overflowPunct w:val="0"/>
        <w:ind w:right="1"/>
        <w:rPr>
          <w:b w:val="0"/>
          <w:bCs w:val="0"/>
          <w:sz w:val="22"/>
          <w:szCs w:val="22"/>
        </w:rPr>
      </w:pPr>
      <w:r>
        <w:rPr>
          <w:sz w:val="22"/>
          <w:szCs w:val="22"/>
        </w:rPr>
        <w:t xml:space="preserve">   </w:t>
      </w:r>
      <w:r w:rsidR="00FC5932" w:rsidRPr="00C96A81">
        <w:rPr>
          <w:sz w:val="22"/>
          <w:szCs w:val="22"/>
        </w:rPr>
        <w:t>Dissemination and</w:t>
      </w:r>
      <w:r w:rsidR="00FC5932" w:rsidRPr="00C96A81">
        <w:rPr>
          <w:spacing w:val="-1"/>
          <w:sz w:val="22"/>
          <w:szCs w:val="22"/>
        </w:rPr>
        <w:t xml:space="preserve"> </w:t>
      </w:r>
      <w:r w:rsidR="00FC5932" w:rsidRPr="00C96A81">
        <w:rPr>
          <w:sz w:val="22"/>
          <w:szCs w:val="22"/>
        </w:rPr>
        <w:t>implementation</w:t>
      </w:r>
    </w:p>
    <w:p w:rsidR="00FC5932" w:rsidRPr="00C96A81" w:rsidRDefault="00FC5932" w:rsidP="00FC5932">
      <w:pPr>
        <w:pStyle w:val="BodyText"/>
        <w:kinsoku w:val="0"/>
        <w:overflowPunct w:val="0"/>
        <w:spacing w:before="1"/>
        <w:ind w:left="0"/>
        <w:rPr>
          <w:b/>
          <w:bCs/>
        </w:rPr>
      </w:pPr>
    </w:p>
    <w:p w:rsidR="00F53907" w:rsidRPr="0024421F" w:rsidRDefault="00F53907" w:rsidP="00F53907">
      <w:pPr>
        <w:pStyle w:val="Heading3"/>
        <w:kinsoku w:val="0"/>
        <w:overflowPunct w:val="0"/>
        <w:spacing w:line="252" w:lineRule="exact"/>
        <w:ind w:left="640"/>
        <w:jc w:val="both"/>
        <w:rPr>
          <w:b w:val="0"/>
          <w:bCs w:val="0"/>
        </w:rPr>
      </w:pPr>
      <w:r w:rsidRPr="0024421F">
        <w:t>7.1</w:t>
      </w:r>
      <w:r w:rsidRPr="0024421F">
        <w:rPr>
          <w:spacing w:val="-4"/>
        </w:rPr>
        <w:t xml:space="preserve"> </w:t>
      </w:r>
      <w:r w:rsidRPr="0024421F">
        <w:t>Dissemination:</w:t>
      </w:r>
    </w:p>
    <w:p w:rsidR="00F53907" w:rsidRPr="0024421F" w:rsidRDefault="00F53907" w:rsidP="00F53907">
      <w:pPr>
        <w:pStyle w:val="BodyText"/>
        <w:kinsoku w:val="0"/>
        <w:overflowPunct w:val="0"/>
        <w:ind w:right="112"/>
        <w:jc w:val="both"/>
      </w:pPr>
      <w:r w:rsidRPr="0024421F">
        <w:t xml:space="preserve">Guidelines will be available on the departmental intranet page and available in paper form in the junior doctor office in haematology. </w:t>
      </w:r>
    </w:p>
    <w:p w:rsidR="00F53907" w:rsidRPr="0024421F" w:rsidRDefault="00F53907" w:rsidP="00F53907">
      <w:pPr>
        <w:pStyle w:val="BodyText"/>
        <w:kinsoku w:val="0"/>
        <w:overflowPunct w:val="0"/>
        <w:ind w:left="0"/>
      </w:pPr>
    </w:p>
    <w:p w:rsidR="00F53907" w:rsidRPr="0024421F" w:rsidRDefault="00F53907" w:rsidP="00F53907">
      <w:pPr>
        <w:pStyle w:val="Heading3"/>
        <w:kinsoku w:val="0"/>
        <w:overflowPunct w:val="0"/>
        <w:spacing w:line="252" w:lineRule="exact"/>
        <w:ind w:left="640"/>
        <w:jc w:val="both"/>
        <w:rPr>
          <w:b w:val="0"/>
          <w:bCs w:val="0"/>
        </w:rPr>
      </w:pPr>
      <w:r w:rsidRPr="0024421F">
        <w:t>7.2.</w:t>
      </w:r>
      <w:r w:rsidRPr="0024421F">
        <w:rPr>
          <w:spacing w:val="-4"/>
        </w:rPr>
        <w:t xml:space="preserve"> </w:t>
      </w:r>
      <w:r w:rsidRPr="0024421F">
        <w:t>Implementation</w:t>
      </w:r>
    </w:p>
    <w:p w:rsidR="00F53907" w:rsidRPr="0024421F" w:rsidRDefault="00F53907" w:rsidP="00F53907">
      <w:pPr>
        <w:pStyle w:val="BodyText"/>
        <w:kinsoku w:val="0"/>
        <w:overflowPunct w:val="0"/>
        <w:ind w:right="1"/>
      </w:pPr>
      <w:r w:rsidRPr="0024421F">
        <w:t xml:space="preserve">Guidelines will be promoted by the </w:t>
      </w:r>
      <w:proofErr w:type="spellStart"/>
      <w:r w:rsidRPr="0024421F">
        <w:t>haemoglobinopathy</w:t>
      </w:r>
      <w:proofErr w:type="spellEnd"/>
      <w:r w:rsidRPr="0024421F">
        <w:t xml:space="preserve"> team</w:t>
      </w:r>
      <w:r w:rsidR="00A00023">
        <w:t>.</w:t>
      </w:r>
    </w:p>
    <w:p w:rsidR="00F53907" w:rsidRPr="0024421F" w:rsidRDefault="00F53907" w:rsidP="00F53907">
      <w:pPr>
        <w:pStyle w:val="BodyText"/>
        <w:kinsoku w:val="0"/>
        <w:overflowPunct w:val="0"/>
        <w:spacing w:before="1"/>
        <w:ind w:left="0"/>
      </w:pPr>
    </w:p>
    <w:p w:rsidR="00F53907" w:rsidRPr="0024421F" w:rsidRDefault="00F53907" w:rsidP="00F53907">
      <w:pPr>
        <w:pStyle w:val="Heading2"/>
        <w:numPr>
          <w:ilvl w:val="0"/>
          <w:numId w:val="20"/>
        </w:numPr>
        <w:tabs>
          <w:tab w:val="left" w:pos="640"/>
        </w:tabs>
        <w:kinsoku w:val="0"/>
        <w:overflowPunct w:val="0"/>
        <w:spacing w:line="276" w:lineRule="exact"/>
        <w:ind w:left="639" w:right="1" w:hanging="539"/>
        <w:rPr>
          <w:rFonts w:ascii="Times New Roman" w:hAnsi="Times New Roman" w:cs="Times New Roman"/>
          <w:b w:val="0"/>
          <w:bCs w:val="0"/>
          <w:sz w:val="22"/>
          <w:szCs w:val="22"/>
        </w:rPr>
      </w:pPr>
      <w:r w:rsidRPr="0024421F">
        <w:rPr>
          <w:bCs w:val="0"/>
          <w:sz w:val="22"/>
          <w:szCs w:val="22"/>
        </w:rPr>
        <w:t>Consequences of Breaching the Policy</w:t>
      </w:r>
    </w:p>
    <w:p w:rsidR="00F53907" w:rsidRPr="0024421F" w:rsidRDefault="00F53907" w:rsidP="00F53907">
      <w:pPr>
        <w:pStyle w:val="Heading2"/>
        <w:tabs>
          <w:tab w:val="left" w:pos="640"/>
        </w:tabs>
        <w:kinsoku w:val="0"/>
        <w:overflowPunct w:val="0"/>
        <w:spacing w:line="276" w:lineRule="exact"/>
        <w:ind w:left="639" w:right="1" w:firstLine="0"/>
        <w:rPr>
          <w:rFonts w:ascii="Times New Roman" w:hAnsi="Times New Roman" w:cs="Times New Roman"/>
          <w:b w:val="0"/>
          <w:bCs w:val="0"/>
          <w:sz w:val="22"/>
          <w:szCs w:val="22"/>
        </w:rPr>
      </w:pPr>
    </w:p>
    <w:p w:rsidR="00F53907" w:rsidRPr="0024421F" w:rsidRDefault="00F53907" w:rsidP="00F53907">
      <w:pPr>
        <w:pStyle w:val="Heading2"/>
        <w:tabs>
          <w:tab w:val="left" w:pos="640"/>
        </w:tabs>
        <w:kinsoku w:val="0"/>
        <w:overflowPunct w:val="0"/>
        <w:spacing w:line="276" w:lineRule="exact"/>
        <w:ind w:left="639" w:right="1" w:firstLine="0"/>
        <w:rPr>
          <w:rFonts w:ascii="Times New Roman" w:hAnsi="Times New Roman" w:cs="Times New Roman"/>
          <w:b w:val="0"/>
          <w:bCs w:val="0"/>
          <w:sz w:val="22"/>
          <w:szCs w:val="22"/>
        </w:rPr>
      </w:pPr>
      <w:r w:rsidRPr="0024421F">
        <w:rPr>
          <w:b w:val="0"/>
          <w:bCs w:val="0"/>
          <w:sz w:val="22"/>
          <w:szCs w:val="22"/>
        </w:rPr>
        <w:t xml:space="preserve">Failing to follow this policy could lead to action under the Trust’s disciplinary policy. </w:t>
      </w:r>
      <w:r w:rsidRPr="0024421F">
        <w:rPr>
          <w:rFonts w:ascii="Times New Roman" w:hAnsi="Times New Roman" w:cs="Times New Roman"/>
          <w:b w:val="0"/>
          <w:bCs w:val="0"/>
          <w:sz w:val="22"/>
          <w:szCs w:val="22"/>
        </w:rPr>
        <w:t xml:space="preserve"> </w:t>
      </w:r>
    </w:p>
    <w:p w:rsidR="00F53907" w:rsidRPr="0024421F" w:rsidRDefault="00F53907" w:rsidP="00F53907">
      <w:pPr>
        <w:rPr>
          <w:sz w:val="22"/>
          <w:szCs w:val="22"/>
        </w:rPr>
      </w:pPr>
    </w:p>
    <w:p w:rsidR="00F53907" w:rsidRPr="0024421F" w:rsidRDefault="00F53907" w:rsidP="00F53907">
      <w:pPr>
        <w:pStyle w:val="Heading2"/>
        <w:numPr>
          <w:ilvl w:val="0"/>
          <w:numId w:val="20"/>
        </w:numPr>
        <w:tabs>
          <w:tab w:val="left" w:pos="640"/>
        </w:tabs>
        <w:kinsoku w:val="0"/>
        <w:overflowPunct w:val="0"/>
        <w:spacing w:line="276" w:lineRule="exact"/>
        <w:ind w:left="639" w:right="1" w:hanging="539"/>
        <w:rPr>
          <w:b w:val="0"/>
          <w:bCs w:val="0"/>
          <w:sz w:val="22"/>
          <w:szCs w:val="22"/>
        </w:rPr>
      </w:pPr>
      <w:r w:rsidRPr="0024421F">
        <w:rPr>
          <w:sz w:val="22"/>
          <w:szCs w:val="22"/>
        </w:rPr>
        <w:t>Monitoring</w:t>
      </w:r>
      <w:r w:rsidRPr="0024421F">
        <w:rPr>
          <w:spacing w:val="-1"/>
          <w:sz w:val="22"/>
          <w:szCs w:val="22"/>
        </w:rPr>
        <w:t xml:space="preserve"> </w:t>
      </w:r>
      <w:r w:rsidRPr="0024421F">
        <w:rPr>
          <w:sz w:val="22"/>
          <w:szCs w:val="22"/>
        </w:rPr>
        <w:t>compliance</w:t>
      </w:r>
    </w:p>
    <w:p w:rsidR="00FC5932" w:rsidRDefault="00F53907" w:rsidP="00F53907">
      <w:pPr>
        <w:pStyle w:val="BodyText"/>
        <w:kinsoku w:val="0"/>
        <w:overflowPunct w:val="0"/>
        <w:jc w:val="both"/>
        <w:sectPr w:rsidR="00FC5932">
          <w:pgSz w:w="11900" w:h="16840"/>
          <w:pgMar w:top="360" w:right="1320" w:bottom="1060" w:left="980" w:header="0" w:footer="878" w:gutter="0"/>
          <w:cols w:space="720" w:equalWidth="0">
            <w:col w:w="9600"/>
          </w:cols>
          <w:noEndnote/>
        </w:sectPr>
      </w:pPr>
      <w:r w:rsidRPr="0024421F">
        <w:t>The table below outlines the process for monitoring compliance with this</w:t>
      </w:r>
      <w:r w:rsidRPr="0024421F">
        <w:rPr>
          <w:spacing w:val="-18"/>
        </w:rPr>
        <w:t xml:space="preserve"> </w:t>
      </w:r>
      <w:r w:rsidRPr="0024421F">
        <w:t>document</w:t>
      </w:r>
      <w:r>
        <w:t>.</w:t>
      </w: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5"/>
        <w:ind w:left="0"/>
        <w:rPr>
          <w:i/>
          <w:iCs/>
          <w:sz w:val="25"/>
          <w:szCs w:val="25"/>
        </w:rPr>
      </w:pPr>
    </w:p>
    <w:tbl>
      <w:tblPr>
        <w:tblW w:w="0" w:type="auto"/>
        <w:tblInd w:w="110" w:type="dxa"/>
        <w:tblLayout w:type="fixed"/>
        <w:tblCellMar>
          <w:left w:w="0" w:type="dxa"/>
          <w:right w:w="0" w:type="dxa"/>
        </w:tblCellMar>
        <w:tblLook w:val="0000" w:firstRow="0" w:lastRow="0" w:firstColumn="0" w:lastColumn="0" w:noHBand="0" w:noVBand="0"/>
      </w:tblPr>
      <w:tblGrid>
        <w:gridCol w:w="1908"/>
        <w:gridCol w:w="2520"/>
        <w:gridCol w:w="2700"/>
        <w:gridCol w:w="2601"/>
        <w:gridCol w:w="2520"/>
        <w:gridCol w:w="2520"/>
      </w:tblGrid>
      <w:tr w:rsidR="00FC5932">
        <w:trPr>
          <w:trHeight w:hRule="exact" w:val="540"/>
        </w:trPr>
        <w:tc>
          <w:tcPr>
            <w:tcW w:w="14769" w:type="dxa"/>
            <w:gridSpan w:val="6"/>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line="275" w:lineRule="exact"/>
              <w:ind w:left="4712"/>
            </w:pPr>
            <w:r>
              <w:rPr>
                <w:rFonts w:ascii="Arial" w:hAnsi="Arial" w:cs="Arial"/>
                <w:b/>
                <w:bCs/>
              </w:rPr>
              <w:t>Monitoring compliance and effectiveness</w:t>
            </w:r>
            <w:r>
              <w:rPr>
                <w:rFonts w:ascii="Arial" w:hAnsi="Arial" w:cs="Arial"/>
                <w:b/>
                <w:bCs/>
                <w:spacing w:val="-37"/>
              </w:rPr>
              <w:t xml:space="preserve"> </w:t>
            </w:r>
            <w:r>
              <w:rPr>
                <w:rFonts w:ascii="Arial" w:hAnsi="Arial" w:cs="Arial"/>
                <w:b/>
                <w:bCs/>
              </w:rPr>
              <w:t>table</w:t>
            </w:r>
          </w:p>
        </w:tc>
      </w:tr>
      <w:tr w:rsidR="00FC5932">
        <w:trPr>
          <w:trHeight w:hRule="exact" w:val="1062"/>
        </w:trPr>
        <w:tc>
          <w:tcPr>
            <w:tcW w:w="1908"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349"/>
            </w:pPr>
            <w:r>
              <w:rPr>
                <w:rFonts w:ascii="Arial" w:hAnsi="Arial" w:cs="Arial"/>
                <w:b/>
                <w:bCs/>
                <w:sz w:val="22"/>
                <w:szCs w:val="22"/>
              </w:rPr>
              <w:t>Element/</w:t>
            </w:r>
            <w:r>
              <w:rPr>
                <w:rFonts w:ascii="Arial" w:hAnsi="Arial" w:cs="Arial"/>
                <w:b/>
                <w:bCs/>
                <w:w w:val="99"/>
                <w:sz w:val="22"/>
                <w:szCs w:val="22"/>
              </w:rPr>
              <w:t xml:space="preserve"> </w:t>
            </w:r>
            <w:r>
              <w:rPr>
                <w:rFonts w:ascii="Arial" w:hAnsi="Arial" w:cs="Arial"/>
                <w:b/>
                <w:bCs/>
                <w:sz w:val="22"/>
                <w:szCs w:val="22"/>
              </w:rPr>
              <w:t>Activity</w:t>
            </w:r>
            <w:r>
              <w:rPr>
                <w:rFonts w:ascii="Arial" w:hAnsi="Arial" w:cs="Arial"/>
                <w:b/>
                <w:bCs/>
                <w:spacing w:val="-4"/>
                <w:sz w:val="22"/>
                <w:szCs w:val="22"/>
              </w:rPr>
              <w:t xml:space="preserve"> </w:t>
            </w:r>
            <w:r>
              <w:rPr>
                <w:rFonts w:ascii="Arial" w:hAnsi="Arial" w:cs="Arial"/>
                <w:b/>
                <w:bCs/>
                <w:sz w:val="22"/>
                <w:szCs w:val="22"/>
              </w:rPr>
              <w:t>being</w:t>
            </w:r>
            <w:r>
              <w:rPr>
                <w:rFonts w:ascii="Arial" w:hAnsi="Arial" w:cs="Arial"/>
                <w:b/>
                <w:bCs/>
                <w:w w:val="99"/>
                <w:sz w:val="22"/>
                <w:szCs w:val="22"/>
              </w:rPr>
              <w:t xml:space="preserve"> </w:t>
            </w:r>
            <w:r>
              <w:rPr>
                <w:rFonts w:ascii="Arial" w:hAnsi="Arial" w:cs="Arial"/>
                <w:b/>
                <w:bCs/>
                <w:sz w:val="22"/>
                <w:szCs w:val="22"/>
              </w:rPr>
              <w:t>monitored</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Lead/role</w:t>
            </w:r>
          </w:p>
        </w:tc>
        <w:tc>
          <w:tcPr>
            <w:tcW w:w="270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508"/>
            </w:pPr>
            <w:r>
              <w:rPr>
                <w:rFonts w:ascii="Arial" w:hAnsi="Arial" w:cs="Arial"/>
                <w:b/>
                <w:bCs/>
                <w:sz w:val="22"/>
                <w:szCs w:val="22"/>
              </w:rPr>
              <w:t>Methodology to</w:t>
            </w:r>
            <w:r>
              <w:rPr>
                <w:rFonts w:ascii="Arial" w:hAnsi="Arial" w:cs="Arial"/>
                <w:b/>
                <w:bCs/>
                <w:spacing w:val="-4"/>
                <w:sz w:val="22"/>
                <w:szCs w:val="22"/>
              </w:rPr>
              <w:t xml:space="preserve"> </w:t>
            </w:r>
            <w:r>
              <w:rPr>
                <w:rFonts w:ascii="Arial" w:hAnsi="Arial" w:cs="Arial"/>
                <w:b/>
                <w:bCs/>
                <w:sz w:val="22"/>
                <w:szCs w:val="22"/>
              </w:rPr>
              <w:t>be</w:t>
            </w:r>
            <w:r>
              <w:rPr>
                <w:rFonts w:ascii="Arial" w:hAnsi="Arial" w:cs="Arial"/>
                <w:b/>
                <w:bCs/>
                <w:w w:val="99"/>
                <w:sz w:val="22"/>
                <w:szCs w:val="22"/>
              </w:rPr>
              <w:t xml:space="preserve"> </w:t>
            </w:r>
            <w:r>
              <w:rPr>
                <w:rFonts w:ascii="Arial" w:hAnsi="Arial" w:cs="Arial"/>
                <w:b/>
                <w:bCs/>
                <w:sz w:val="22"/>
                <w:szCs w:val="22"/>
              </w:rPr>
              <w:t>used for</w:t>
            </w:r>
            <w:r>
              <w:rPr>
                <w:rFonts w:ascii="Arial" w:hAnsi="Arial" w:cs="Arial"/>
                <w:b/>
                <w:bCs/>
                <w:spacing w:val="-4"/>
                <w:sz w:val="22"/>
                <w:szCs w:val="22"/>
              </w:rPr>
              <w:t xml:space="preserve"> </w:t>
            </w:r>
            <w:r>
              <w:rPr>
                <w:rFonts w:ascii="Arial" w:hAnsi="Arial" w:cs="Arial"/>
                <w:b/>
                <w:bCs/>
                <w:sz w:val="22"/>
                <w:szCs w:val="22"/>
              </w:rPr>
              <w:t>monitoring</w:t>
            </w:r>
          </w:p>
        </w:tc>
        <w:tc>
          <w:tcPr>
            <w:tcW w:w="2601"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823"/>
            </w:pPr>
            <w:r>
              <w:rPr>
                <w:rFonts w:ascii="Arial" w:hAnsi="Arial" w:cs="Arial"/>
                <w:b/>
                <w:bCs/>
                <w:sz w:val="22"/>
                <w:szCs w:val="22"/>
              </w:rPr>
              <w:t>Frequency</w:t>
            </w:r>
            <w:r>
              <w:rPr>
                <w:rFonts w:ascii="Arial" w:hAnsi="Arial" w:cs="Arial"/>
                <w:b/>
                <w:bCs/>
                <w:spacing w:val="-2"/>
                <w:sz w:val="22"/>
                <w:szCs w:val="22"/>
              </w:rPr>
              <w:t xml:space="preserve"> </w:t>
            </w:r>
            <w:r>
              <w:rPr>
                <w:rFonts w:ascii="Arial" w:hAnsi="Arial" w:cs="Arial"/>
                <w:b/>
                <w:bCs/>
                <w:sz w:val="22"/>
                <w:szCs w:val="22"/>
              </w:rPr>
              <w:t>of</w:t>
            </w:r>
            <w:r>
              <w:rPr>
                <w:rFonts w:ascii="Arial" w:hAnsi="Arial" w:cs="Arial"/>
                <w:b/>
                <w:bCs/>
                <w:w w:val="99"/>
                <w:sz w:val="22"/>
                <w:szCs w:val="22"/>
              </w:rPr>
              <w:t xml:space="preserve"> </w:t>
            </w:r>
            <w:r>
              <w:rPr>
                <w:rFonts w:ascii="Arial" w:hAnsi="Arial" w:cs="Arial"/>
                <w:b/>
                <w:bCs/>
                <w:sz w:val="22"/>
                <w:szCs w:val="22"/>
              </w:rPr>
              <w:t>monitoring</w:t>
            </w:r>
            <w:r>
              <w:rPr>
                <w:rFonts w:ascii="Arial" w:hAnsi="Arial" w:cs="Arial"/>
                <w:b/>
                <w:bCs/>
                <w:spacing w:val="58"/>
                <w:sz w:val="22"/>
                <w:szCs w:val="22"/>
              </w:rPr>
              <w:t xml:space="preserve"> </w:t>
            </w:r>
            <w:r>
              <w:rPr>
                <w:rFonts w:ascii="Arial" w:hAnsi="Arial" w:cs="Arial"/>
                <w:b/>
                <w:bCs/>
                <w:sz w:val="22"/>
                <w:szCs w:val="22"/>
              </w:rPr>
              <w:t>and</w:t>
            </w:r>
            <w:r>
              <w:rPr>
                <w:rFonts w:ascii="Arial" w:hAnsi="Arial" w:cs="Arial"/>
                <w:b/>
                <w:bCs/>
                <w:w w:val="99"/>
                <w:sz w:val="22"/>
                <w:szCs w:val="22"/>
              </w:rPr>
              <w:t xml:space="preserve"> </w:t>
            </w:r>
            <w:r>
              <w:rPr>
                <w:rFonts w:ascii="Arial" w:hAnsi="Arial" w:cs="Arial"/>
                <w:b/>
                <w:bCs/>
                <w:sz w:val="22"/>
                <w:szCs w:val="22"/>
              </w:rPr>
              <w:t>Reporting</w:t>
            </w:r>
            <w:r>
              <w:rPr>
                <w:rFonts w:ascii="Arial" w:hAnsi="Arial" w:cs="Arial"/>
                <w:b/>
                <w:bCs/>
                <w:w w:val="99"/>
                <w:sz w:val="22"/>
                <w:szCs w:val="22"/>
              </w:rPr>
              <w:t xml:space="preserve"> </w:t>
            </w:r>
            <w:r>
              <w:rPr>
                <w:rFonts w:ascii="Arial" w:hAnsi="Arial" w:cs="Arial"/>
                <w:b/>
                <w:bCs/>
                <w:sz w:val="22"/>
                <w:szCs w:val="22"/>
              </w:rPr>
              <w:t>arrangements</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510"/>
            </w:pPr>
            <w:r>
              <w:rPr>
                <w:rFonts w:ascii="Arial" w:hAnsi="Arial" w:cs="Arial"/>
                <w:b/>
                <w:bCs/>
                <w:sz w:val="22"/>
                <w:szCs w:val="22"/>
              </w:rPr>
              <w:t>Acting</w:t>
            </w:r>
            <w:r>
              <w:rPr>
                <w:rFonts w:ascii="Arial" w:hAnsi="Arial" w:cs="Arial"/>
                <w:b/>
                <w:bCs/>
                <w:spacing w:val="-1"/>
                <w:sz w:val="22"/>
                <w:szCs w:val="22"/>
              </w:rPr>
              <w:t xml:space="preserve"> </w:t>
            </w:r>
            <w:r>
              <w:rPr>
                <w:rFonts w:ascii="Arial" w:hAnsi="Arial" w:cs="Arial"/>
                <w:b/>
                <w:bCs/>
                <w:sz w:val="22"/>
                <w:szCs w:val="22"/>
              </w:rPr>
              <w:t>on</w:t>
            </w:r>
            <w:r>
              <w:rPr>
                <w:rFonts w:ascii="Arial" w:hAnsi="Arial" w:cs="Arial"/>
                <w:b/>
                <w:bCs/>
                <w:w w:val="99"/>
                <w:sz w:val="22"/>
                <w:szCs w:val="22"/>
              </w:rPr>
              <w:t xml:space="preserve"> </w:t>
            </w:r>
            <w:r>
              <w:rPr>
                <w:rFonts w:ascii="Arial" w:hAnsi="Arial" w:cs="Arial"/>
                <w:b/>
                <w:bCs/>
                <w:sz w:val="22"/>
                <w:szCs w:val="22"/>
              </w:rPr>
              <w:t>recommendations</w:t>
            </w:r>
            <w:r>
              <w:rPr>
                <w:rFonts w:ascii="Arial" w:hAnsi="Arial" w:cs="Arial"/>
                <w:b/>
                <w:bCs/>
                <w:w w:val="99"/>
                <w:sz w:val="22"/>
                <w:szCs w:val="22"/>
              </w:rPr>
              <w:t xml:space="preserve"> </w:t>
            </w:r>
            <w:r>
              <w:rPr>
                <w:rFonts w:ascii="Arial" w:hAnsi="Arial" w:cs="Arial"/>
                <w:b/>
                <w:bCs/>
                <w:sz w:val="22"/>
                <w:szCs w:val="22"/>
              </w:rPr>
              <w:t>and</w:t>
            </w:r>
            <w:r>
              <w:rPr>
                <w:rFonts w:ascii="Arial" w:hAnsi="Arial" w:cs="Arial"/>
                <w:b/>
                <w:bCs/>
                <w:spacing w:val="-2"/>
                <w:sz w:val="22"/>
                <w:szCs w:val="22"/>
              </w:rPr>
              <w:t xml:space="preserve"> </w:t>
            </w:r>
            <w:r>
              <w:rPr>
                <w:rFonts w:ascii="Arial" w:hAnsi="Arial" w:cs="Arial"/>
                <w:b/>
                <w:bCs/>
                <w:sz w:val="22"/>
                <w:szCs w:val="22"/>
              </w:rPr>
              <w:t>Leads</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436"/>
            </w:pPr>
            <w:r>
              <w:rPr>
                <w:rFonts w:ascii="Arial" w:hAnsi="Arial" w:cs="Arial"/>
                <w:b/>
                <w:bCs/>
                <w:sz w:val="22"/>
                <w:szCs w:val="22"/>
              </w:rPr>
              <w:t>Change in</w:t>
            </w:r>
            <w:r>
              <w:rPr>
                <w:rFonts w:ascii="Arial" w:hAnsi="Arial" w:cs="Arial"/>
                <w:b/>
                <w:bCs/>
                <w:spacing w:val="-3"/>
                <w:sz w:val="22"/>
                <w:szCs w:val="22"/>
              </w:rPr>
              <w:t xml:space="preserve"> </w:t>
            </w:r>
            <w:r>
              <w:rPr>
                <w:rFonts w:ascii="Arial" w:hAnsi="Arial" w:cs="Arial"/>
                <w:b/>
                <w:bCs/>
                <w:sz w:val="22"/>
                <w:szCs w:val="22"/>
              </w:rPr>
              <w:t>practice</w:t>
            </w:r>
            <w:r>
              <w:rPr>
                <w:rFonts w:ascii="Arial" w:hAnsi="Arial" w:cs="Arial"/>
                <w:b/>
                <w:bCs/>
                <w:w w:val="99"/>
                <w:sz w:val="22"/>
                <w:szCs w:val="22"/>
              </w:rPr>
              <w:t xml:space="preserve"> </w:t>
            </w:r>
            <w:r>
              <w:rPr>
                <w:rFonts w:ascii="Arial" w:hAnsi="Arial" w:cs="Arial"/>
                <w:b/>
                <w:bCs/>
                <w:sz w:val="22"/>
                <w:szCs w:val="22"/>
              </w:rPr>
              <w:t>and lessons to</w:t>
            </w:r>
            <w:r>
              <w:rPr>
                <w:rFonts w:ascii="Arial" w:hAnsi="Arial" w:cs="Arial"/>
                <w:b/>
                <w:bCs/>
                <w:spacing w:val="-2"/>
                <w:sz w:val="22"/>
                <w:szCs w:val="22"/>
              </w:rPr>
              <w:t xml:space="preserve"> </w:t>
            </w:r>
            <w:r>
              <w:rPr>
                <w:rFonts w:ascii="Arial" w:hAnsi="Arial" w:cs="Arial"/>
                <w:b/>
                <w:bCs/>
                <w:sz w:val="22"/>
                <w:szCs w:val="22"/>
              </w:rPr>
              <w:t>be</w:t>
            </w:r>
            <w:r>
              <w:rPr>
                <w:rFonts w:ascii="Arial" w:hAnsi="Arial" w:cs="Arial"/>
                <w:b/>
                <w:bCs/>
                <w:w w:val="99"/>
                <w:sz w:val="22"/>
                <w:szCs w:val="22"/>
              </w:rPr>
              <w:t xml:space="preserve"> </w:t>
            </w:r>
            <w:r>
              <w:rPr>
                <w:rFonts w:ascii="Arial" w:hAnsi="Arial" w:cs="Arial"/>
                <w:b/>
                <w:bCs/>
                <w:sz w:val="22"/>
                <w:szCs w:val="22"/>
              </w:rPr>
              <w:t>shared</w:t>
            </w:r>
          </w:p>
        </w:tc>
      </w:tr>
      <w:tr w:rsidR="002B791A" w:rsidTr="002B791A">
        <w:trPr>
          <w:trHeight w:hRule="exact" w:val="4142"/>
        </w:trPr>
        <w:tc>
          <w:tcPr>
            <w:tcW w:w="1908"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spacing w:line="206" w:lineRule="exact"/>
              <w:ind w:left="103"/>
              <w:rPr>
                <w:rFonts w:ascii="Arial" w:hAnsi="Arial" w:cs="Arial"/>
                <w:i/>
                <w:iCs/>
                <w:sz w:val="18"/>
                <w:szCs w:val="18"/>
              </w:rPr>
            </w:pPr>
            <w:r w:rsidRPr="002B791A">
              <w:rPr>
                <w:rFonts w:ascii="Arial" w:hAnsi="Arial" w:cs="Arial"/>
                <w:i/>
                <w:iCs/>
                <w:sz w:val="18"/>
                <w:szCs w:val="18"/>
              </w:rPr>
              <w:t>WMQRS peer review quality standards</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185"/>
              <w:rPr>
                <w:rFonts w:ascii="Arial" w:hAnsi="Arial" w:cs="Arial"/>
                <w:i/>
                <w:iCs/>
                <w:sz w:val="18"/>
                <w:szCs w:val="18"/>
              </w:rPr>
            </w:pPr>
            <w:r w:rsidRPr="002B791A">
              <w:rPr>
                <w:rFonts w:ascii="Arial" w:hAnsi="Arial" w:cs="Arial"/>
                <w:i/>
                <w:iCs/>
                <w:sz w:val="18"/>
                <w:szCs w:val="18"/>
              </w:rPr>
              <w:t>Consultant haematologist</w:t>
            </w:r>
          </w:p>
        </w:tc>
        <w:tc>
          <w:tcPr>
            <w:tcW w:w="270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197"/>
              <w:rPr>
                <w:rFonts w:ascii="Arial" w:hAnsi="Arial" w:cs="Arial"/>
                <w:i/>
                <w:iCs/>
                <w:sz w:val="18"/>
                <w:szCs w:val="18"/>
              </w:rPr>
            </w:pPr>
            <w:r w:rsidRPr="002B791A">
              <w:rPr>
                <w:rFonts w:ascii="Arial" w:hAnsi="Arial" w:cs="Arial"/>
                <w:i/>
                <w:iCs/>
                <w:sz w:val="18"/>
                <w:szCs w:val="18"/>
              </w:rPr>
              <w:t>As required (every 2-3 year)</w:t>
            </w:r>
          </w:p>
        </w:tc>
        <w:tc>
          <w:tcPr>
            <w:tcW w:w="2601"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264"/>
              <w:rPr>
                <w:rFonts w:ascii="Arial" w:hAnsi="Arial" w:cs="Arial"/>
                <w:i/>
                <w:iCs/>
                <w:sz w:val="18"/>
                <w:szCs w:val="18"/>
              </w:rPr>
            </w:pPr>
            <w:r>
              <w:rPr>
                <w:rFonts w:ascii="Arial" w:hAnsi="Arial" w:cs="Arial"/>
                <w:i/>
                <w:iCs/>
                <w:sz w:val="18"/>
                <w:szCs w:val="18"/>
              </w:rPr>
              <w:t>The lead or committee</w:t>
            </w:r>
            <w:r w:rsidRPr="002B791A">
              <w:rPr>
                <w:rFonts w:ascii="Arial" w:hAnsi="Arial" w:cs="Arial"/>
                <w:i/>
                <w:iCs/>
                <w:sz w:val="18"/>
                <w:szCs w:val="18"/>
              </w:rPr>
              <w:t xml:space="preserve"> </w:t>
            </w:r>
            <w:r>
              <w:rPr>
                <w:rFonts w:ascii="Arial" w:hAnsi="Arial" w:cs="Arial"/>
                <w:i/>
                <w:iCs/>
                <w:sz w:val="18"/>
                <w:szCs w:val="18"/>
              </w:rPr>
              <w:t>is</w:t>
            </w:r>
            <w:r w:rsidRPr="002B791A">
              <w:rPr>
                <w:rFonts w:ascii="Arial" w:hAnsi="Arial" w:cs="Arial"/>
                <w:i/>
                <w:iCs/>
                <w:sz w:val="18"/>
                <w:szCs w:val="18"/>
              </w:rPr>
              <w:t xml:space="preserve"> </w:t>
            </w:r>
            <w:r>
              <w:rPr>
                <w:rFonts w:ascii="Arial" w:hAnsi="Arial" w:cs="Arial"/>
                <w:i/>
                <w:iCs/>
                <w:sz w:val="18"/>
                <w:szCs w:val="18"/>
              </w:rPr>
              <w:t>expected to read</w:t>
            </w:r>
            <w:r w:rsidRPr="002B791A">
              <w:rPr>
                <w:rFonts w:ascii="Arial" w:hAnsi="Arial" w:cs="Arial"/>
                <w:i/>
                <w:iCs/>
                <w:sz w:val="18"/>
                <w:szCs w:val="18"/>
              </w:rPr>
              <w:t xml:space="preserve"> </w:t>
            </w:r>
            <w:r>
              <w:rPr>
                <w:rFonts w:ascii="Arial" w:hAnsi="Arial" w:cs="Arial"/>
                <w:i/>
                <w:iCs/>
                <w:sz w:val="18"/>
                <w:szCs w:val="18"/>
              </w:rPr>
              <w:t>and</w:t>
            </w:r>
          </w:p>
          <w:p w:rsidR="002B791A" w:rsidRPr="002B791A" w:rsidRDefault="002B791A" w:rsidP="002B791A">
            <w:pPr>
              <w:pStyle w:val="TableParagraph"/>
              <w:kinsoku w:val="0"/>
              <w:overflowPunct w:val="0"/>
              <w:ind w:left="103" w:right="264"/>
              <w:rPr>
                <w:rFonts w:ascii="Arial" w:hAnsi="Arial" w:cs="Arial"/>
                <w:i/>
                <w:iCs/>
                <w:sz w:val="18"/>
                <w:szCs w:val="18"/>
              </w:rPr>
            </w:pPr>
            <w:r>
              <w:rPr>
                <w:rFonts w:ascii="Arial" w:hAnsi="Arial" w:cs="Arial"/>
                <w:i/>
                <w:iCs/>
                <w:sz w:val="18"/>
                <w:szCs w:val="18"/>
              </w:rPr>
              <w:t>interrogate the report</w:t>
            </w:r>
            <w:r w:rsidRPr="002B791A">
              <w:rPr>
                <w:rFonts w:ascii="Arial" w:hAnsi="Arial" w:cs="Arial"/>
                <w:i/>
                <w:iCs/>
                <w:sz w:val="18"/>
                <w:szCs w:val="18"/>
              </w:rPr>
              <w:t xml:space="preserve"> </w:t>
            </w:r>
            <w:r>
              <w:rPr>
                <w:rFonts w:ascii="Arial" w:hAnsi="Arial" w:cs="Arial"/>
                <w:i/>
                <w:iCs/>
                <w:sz w:val="18"/>
                <w:szCs w:val="18"/>
              </w:rPr>
              <w:t>to</w:t>
            </w:r>
          </w:p>
          <w:p w:rsidR="002B791A" w:rsidRPr="002B791A" w:rsidRDefault="002B791A" w:rsidP="002B791A">
            <w:pPr>
              <w:pStyle w:val="TableParagraph"/>
              <w:kinsoku w:val="0"/>
              <w:overflowPunct w:val="0"/>
              <w:ind w:left="103" w:right="264"/>
              <w:rPr>
                <w:rFonts w:ascii="Arial" w:hAnsi="Arial" w:cs="Arial"/>
                <w:i/>
                <w:iCs/>
                <w:sz w:val="18"/>
                <w:szCs w:val="18"/>
              </w:rPr>
            </w:pPr>
            <w:proofErr w:type="gramStart"/>
            <w:r>
              <w:rPr>
                <w:rFonts w:ascii="Arial" w:hAnsi="Arial" w:cs="Arial"/>
                <w:i/>
                <w:iCs/>
                <w:sz w:val="18"/>
                <w:szCs w:val="18"/>
              </w:rPr>
              <w:t>identify</w:t>
            </w:r>
            <w:proofErr w:type="gramEnd"/>
            <w:r>
              <w:rPr>
                <w:rFonts w:ascii="Arial" w:hAnsi="Arial" w:cs="Arial"/>
                <w:i/>
                <w:iCs/>
                <w:sz w:val="18"/>
                <w:szCs w:val="18"/>
              </w:rPr>
              <w:t xml:space="preserve"> deficiencies in</w:t>
            </w:r>
            <w:r w:rsidRPr="002B791A">
              <w:rPr>
                <w:rFonts w:ascii="Arial" w:hAnsi="Arial" w:cs="Arial"/>
                <w:i/>
                <w:iCs/>
                <w:sz w:val="18"/>
                <w:szCs w:val="18"/>
              </w:rPr>
              <w:t xml:space="preserve"> </w:t>
            </w:r>
            <w:r>
              <w:rPr>
                <w:rFonts w:ascii="Arial" w:hAnsi="Arial" w:cs="Arial"/>
                <w:i/>
                <w:iCs/>
                <w:sz w:val="18"/>
                <w:szCs w:val="18"/>
              </w:rPr>
              <w:t>the</w:t>
            </w:r>
            <w:r w:rsidRPr="002B791A">
              <w:rPr>
                <w:rFonts w:ascii="Arial" w:hAnsi="Arial" w:cs="Arial"/>
                <w:i/>
                <w:iCs/>
                <w:sz w:val="18"/>
                <w:szCs w:val="18"/>
              </w:rPr>
              <w:t xml:space="preserve"> </w:t>
            </w:r>
            <w:r>
              <w:rPr>
                <w:rFonts w:ascii="Arial" w:hAnsi="Arial" w:cs="Arial"/>
                <w:i/>
                <w:iCs/>
                <w:sz w:val="18"/>
                <w:szCs w:val="18"/>
              </w:rPr>
              <w:t>system and act upon</w:t>
            </w:r>
            <w:r w:rsidRPr="002B791A">
              <w:rPr>
                <w:rFonts w:ascii="Arial" w:hAnsi="Arial" w:cs="Arial"/>
                <w:i/>
                <w:iCs/>
                <w:sz w:val="18"/>
                <w:szCs w:val="18"/>
              </w:rPr>
              <w:t xml:space="preserve"> </w:t>
            </w:r>
            <w:r>
              <w:rPr>
                <w:rFonts w:ascii="Arial" w:hAnsi="Arial" w:cs="Arial"/>
                <w:i/>
                <w:iCs/>
                <w:sz w:val="18"/>
                <w:szCs w:val="18"/>
              </w:rPr>
              <w:t>them.</w:t>
            </w:r>
            <w:r w:rsidRPr="002B791A">
              <w:rPr>
                <w:rFonts w:ascii="Arial" w:hAnsi="Arial" w:cs="Arial"/>
                <w:i/>
                <w:iCs/>
                <w:sz w:val="18"/>
                <w:szCs w:val="18"/>
              </w:rPr>
              <w:t xml:space="preserve"> </w:t>
            </w:r>
            <w:r>
              <w:rPr>
                <w:rFonts w:ascii="Arial" w:hAnsi="Arial" w:cs="Arial"/>
                <w:i/>
                <w:iCs/>
                <w:sz w:val="18"/>
                <w:szCs w:val="18"/>
              </w:rPr>
              <w:t>Consider stating</w:t>
            </w:r>
            <w:r w:rsidRPr="002B791A">
              <w:rPr>
                <w:rFonts w:ascii="Arial" w:hAnsi="Arial" w:cs="Arial"/>
                <w:i/>
                <w:iCs/>
                <w:sz w:val="18"/>
                <w:szCs w:val="18"/>
              </w:rPr>
              <w:t xml:space="preserve"> </w:t>
            </w:r>
            <w:r>
              <w:rPr>
                <w:rFonts w:ascii="Arial" w:hAnsi="Arial" w:cs="Arial"/>
                <w:i/>
                <w:iCs/>
                <w:sz w:val="18"/>
                <w:szCs w:val="18"/>
              </w:rPr>
              <w:t>this</w:t>
            </w:r>
            <w:r w:rsidRPr="002B791A">
              <w:rPr>
                <w:rFonts w:ascii="Arial" w:hAnsi="Arial" w:cs="Arial"/>
                <w:i/>
                <w:iCs/>
                <w:sz w:val="18"/>
                <w:szCs w:val="18"/>
              </w:rPr>
              <w:t xml:space="preserve"> </w:t>
            </w:r>
            <w:r>
              <w:rPr>
                <w:rFonts w:ascii="Arial" w:hAnsi="Arial" w:cs="Arial"/>
                <w:i/>
                <w:iCs/>
                <w:sz w:val="18"/>
                <w:szCs w:val="18"/>
              </w:rPr>
              <w:t>responsibility in</w:t>
            </w:r>
            <w:r w:rsidRPr="002B791A">
              <w:rPr>
                <w:rFonts w:ascii="Arial" w:hAnsi="Arial" w:cs="Arial"/>
                <w:i/>
                <w:iCs/>
                <w:sz w:val="18"/>
                <w:szCs w:val="18"/>
              </w:rPr>
              <w:t xml:space="preserve"> </w:t>
            </w:r>
            <w:r>
              <w:rPr>
                <w:rFonts w:ascii="Arial" w:hAnsi="Arial" w:cs="Arial"/>
                <w:i/>
                <w:iCs/>
                <w:sz w:val="18"/>
                <w:szCs w:val="18"/>
              </w:rPr>
              <w:t>committee</w:t>
            </w:r>
            <w:r w:rsidRPr="002B791A">
              <w:rPr>
                <w:rFonts w:ascii="Arial" w:hAnsi="Arial" w:cs="Arial"/>
                <w:i/>
                <w:iCs/>
                <w:sz w:val="18"/>
                <w:szCs w:val="18"/>
              </w:rPr>
              <w:t xml:space="preserve"> </w:t>
            </w:r>
            <w:r>
              <w:rPr>
                <w:rFonts w:ascii="Arial" w:hAnsi="Arial" w:cs="Arial"/>
                <w:i/>
                <w:iCs/>
                <w:sz w:val="18"/>
                <w:szCs w:val="18"/>
              </w:rPr>
              <w:t>terms of</w:t>
            </w:r>
            <w:r w:rsidRPr="002B791A">
              <w:rPr>
                <w:rFonts w:ascii="Arial" w:hAnsi="Arial" w:cs="Arial"/>
                <w:i/>
                <w:iCs/>
                <w:sz w:val="18"/>
                <w:szCs w:val="18"/>
              </w:rPr>
              <w:t xml:space="preserve"> </w:t>
            </w:r>
            <w:r>
              <w:rPr>
                <w:rFonts w:ascii="Arial" w:hAnsi="Arial" w:cs="Arial"/>
                <w:i/>
                <w:iCs/>
                <w:sz w:val="18"/>
                <w:szCs w:val="18"/>
              </w:rPr>
              <w:t>reference.</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Required actions will</w:t>
            </w:r>
            <w:r w:rsidRPr="002B791A">
              <w:rPr>
                <w:rFonts w:ascii="Arial" w:hAnsi="Arial" w:cs="Arial"/>
                <w:i/>
                <w:iCs/>
                <w:sz w:val="18"/>
                <w:szCs w:val="18"/>
              </w:rPr>
              <w:t xml:space="preserve"> </w:t>
            </w:r>
            <w:r>
              <w:rPr>
                <w:rFonts w:ascii="Arial" w:hAnsi="Arial" w:cs="Arial"/>
                <w:i/>
                <w:iCs/>
                <w:sz w:val="18"/>
                <w:szCs w:val="18"/>
              </w:rPr>
              <w:t>be</w:t>
            </w:r>
            <w:r w:rsidRPr="002B791A">
              <w:rPr>
                <w:rFonts w:ascii="Arial" w:hAnsi="Arial" w:cs="Arial"/>
                <w:i/>
                <w:iCs/>
                <w:sz w:val="18"/>
                <w:szCs w:val="18"/>
              </w:rPr>
              <w:t xml:space="preserve"> </w:t>
            </w:r>
            <w:r>
              <w:rPr>
                <w:rFonts w:ascii="Arial" w:hAnsi="Arial" w:cs="Arial"/>
                <w:i/>
                <w:iCs/>
                <w:sz w:val="18"/>
                <w:szCs w:val="18"/>
              </w:rPr>
              <w:t>identified and completed in</w:t>
            </w:r>
            <w:r w:rsidRPr="002B791A">
              <w:rPr>
                <w:rFonts w:ascii="Arial" w:hAnsi="Arial" w:cs="Arial"/>
                <w:i/>
                <w:iCs/>
                <w:sz w:val="18"/>
                <w:szCs w:val="18"/>
              </w:rPr>
              <w:t xml:space="preserve"> </w:t>
            </w:r>
            <w:r>
              <w:rPr>
                <w:rFonts w:ascii="Arial" w:hAnsi="Arial" w:cs="Arial"/>
                <w:i/>
                <w:iCs/>
                <w:sz w:val="18"/>
                <w:szCs w:val="18"/>
              </w:rPr>
              <w:t>a specified</w:t>
            </w:r>
            <w:r w:rsidRPr="002B791A">
              <w:rPr>
                <w:rFonts w:ascii="Arial" w:hAnsi="Arial" w:cs="Arial"/>
                <w:i/>
                <w:iCs/>
                <w:sz w:val="18"/>
                <w:szCs w:val="18"/>
              </w:rPr>
              <w:t xml:space="preserve"> </w:t>
            </w:r>
            <w:r>
              <w:rPr>
                <w:rFonts w:ascii="Arial" w:hAnsi="Arial" w:cs="Arial"/>
                <w:i/>
                <w:iCs/>
                <w:sz w:val="18"/>
                <w:szCs w:val="18"/>
              </w:rPr>
              <w:t>timeframe.</w:t>
            </w:r>
          </w:p>
          <w:p w:rsid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Consider stating</w:t>
            </w:r>
            <w:r w:rsidRPr="002B791A">
              <w:rPr>
                <w:rFonts w:ascii="Arial" w:hAnsi="Arial" w:cs="Arial"/>
                <w:i/>
                <w:iCs/>
                <w:sz w:val="18"/>
                <w:szCs w:val="18"/>
              </w:rPr>
              <w:t xml:space="preserve"> </w:t>
            </w:r>
            <w:r>
              <w:rPr>
                <w:rFonts w:ascii="Arial" w:hAnsi="Arial" w:cs="Arial"/>
                <w:i/>
                <w:iCs/>
                <w:sz w:val="18"/>
                <w:szCs w:val="18"/>
              </w:rPr>
              <w:t>this</w:t>
            </w:r>
            <w:r w:rsidRPr="002B791A">
              <w:rPr>
                <w:rFonts w:ascii="Arial" w:hAnsi="Arial" w:cs="Arial"/>
                <w:i/>
                <w:iCs/>
                <w:sz w:val="18"/>
                <w:szCs w:val="18"/>
              </w:rPr>
              <w:t xml:space="preserve"> </w:t>
            </w:r>
            <w:r>
              <w:rPr>
                <w:rFonts w:ascii="Arial" w:hAnsi="Arial" w:cs="Arial"/>
                <w:i/>
                <w:iCs/>
                <w:sz w:val="18"/>
                <w:szCs w:val="18"/>
              </w:rPr>
              <w:t>responsibility in</w:t>
            </w:r>
            <w:r w:rsidRPr="002B791A">
              <w:rPr>
                <w:rFonts w:ascii="Arial" w:hAnsi="Arial" w:cs="Arial"/>
                <w:i/>
                <w:iCs/>
                <w:sz w:val="18"/>
                <w:szCs w:val="18"/>
              </w:rPr>
              <w:t xml:space="preserve"> </w:t>
            </w:r>
            <w:r>
              <w:rPr>
                <w:rFonts w:ascii="Arial" w:hAnsi="Arial" w:cs="Arial"/>
                <w:i/>
                <w:iCs/>
                <w:sz w:val="18"/>
                <w:szCs w:val="18"/>
              </w:rPr>
              <w:t>committee</w:t>
            </w:r>
            <w:r w:rsidRPr="002B791A">
              <w:rPr>
                <w:rFonts w:ascii="Arial" w:hAnsi="Arial" w:cs="Arial"/>
                <w:i/>
                <w:iCs/>
                <w:sz w:val="18"/>
                <w:szCs w:val="18"/>
              </w:rPr>
              <w:t xml:space="preserve"> </w:t>
            </w:r>
            <w:r>
              <w:rPr>
                <w:rFonts w:ascii="Arial" w:hAnsi="Arial" w:cs="Arial"/>
                <w:i/>
                <w:iCs/>
                <w:sz w:val="18"/>
                <w:szCs w:val="18"/>
              </w:rPr>
              <w:t>terms of</w:t>
            </w:r>
            <w:r w:rsidRPr="002B791A">
              <w:rPr>
                <w:rFonts w:ascii="Arial" w:hAnsi="Arial" w:cs="Arial"/>
                <w:i/>
                <w:iCs/>
                <w:sz w:val="18"/>
                <w:szCs w:val="18"/>
              </w:rPr>
              <w:t xml:space="preserve"> </w:t>
            </w:r>
            <w:r>
              <w:rPr>
                <w:rFonts w:ascii="Arial" w:hAnsi="Arial" w:cs="Arial"/>
                <w:i/>
                <w:iCs/>
                <w:sz w:val="18"/>
                <w:szCs w:val="18"/>
              </w:rPr>
              <w:t>reference.</w:t>
            </w:r>
          </w:p>
          <w:p w:rsidR="002B791A" w:rsidRDefault="002B791A" w:rsidP="002B791A">
            <w:pPr>
              <w:pStyle w:val="TableParagraph"/>
              <w:kinsoku w:val="0"/>
              <w:overflowPunct w:val="0"/>
              <w:ind w:left="103" w:right="346"/>
              <w:rPr>
                <w:rFonts w:ascii="Arial" w:hAnsi="Arial" w:cs="Arial"/>
                <w:i/>
                <w:iCs/>
                <w:sz w:val="18"/>
                <w:szCs w:val="18"/>
              </w:rPr>
            </w:pPr>
          </w:p>
          <w:p w:rsidR="002B791A" w:rsidRP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These will be discussed at Divisional governance board</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234"/>
              <w:rPr>
                <w:rFonts w:ascii="Arial" w:hAnsi="Arial" w:cs="Arial"/>
                <w:i/>
                <w:iCs/>
                <w:sz w:val="18"/>
                <w:szCs w:val="18"/>
              </w:rPr>
            </w:pPr>
            <w:r>
              <w:rPr>
                <w:rFonts w:ascii="Arial" w:hAnsi="Arial" w:cs="Arial"/>
                <w:i/>
                <w:iCs/>
                <w:sz w:val="18"/>
                <w:szCs w:val="18"/>
              </w:rPr>
              <w:t>Required changes</w:t>
            </w:r>
            <w:r w:rsidRPr="002B791A">
              <w:rPr>
                <w:rFonts w:ascii="Arial" w:hAnsi="Arial" w:cs="Arial"/>
                <w:i/>
                <w:iCs/>
                <w:sz w:val="18"/>
                <w:szCs w:val="18"/>
              </w:rPr>
              <w:t xml:space="preserve"> </w:t>
            </w:r>
            <w:r>
              <w:rPr>
                <w:rFonts w:ascii="Arial" w:hAnsi="Arial" w:cs="Arial"/>
                <w:i/>
                <w:iCs/>
                <w:sz w:val="18"/>
                <w:szCs w:val="18"/>
              </w:rPr>
              <w:t>to practice will be identified</w:t>
            </w:r>
            <w:r w:rsidRPr="002B791A">
              <w:rPr>
                <w:rFonts w:ascii="Arial" w:hAnsi="Arial" w:cs="Arial"/>
                <w:i/>
                <w:iCs/>
                <w:sz w:val="18"/>
                <w:szCs w:val="18"/>
              </w:rPr>
              <w:t xml:space="preserve"> </w:t>
            </w:r>
            <w:r>
              <w:rPr>
                <w:rFonts w:ascii="Arial" w:hAnsi="Arial" w:cs="Arial"/>
                <w:i/>
                <w:iCs/>
                <w:sz w:val="18"/>
                <w:szCs w:val="18"/>
              </w:rPr>
              <w:t>and</w:t>
            </w:r>
            <w:r w:rsidRPr="002B791A">
              <w:rPr>
                <w:rFonts w:ascii="Arial" w:hAnsi="Arial" w:cs="Arial"/>
                <w:i/>
                <w:iCs/>
                <w:sz w:val="18"/>
                <w:szCs w:val="18"/>
              </w:rPr>
              <w:t xml:space="preserve"> </w:t>
            </w:r>
            <w:proofErr w:type="spellStart"/>
            <w:r>
              <w:rPr>
                <w:rFonts w:ascii="Arial" w:hAnsi="Arial" w:cs="Arial"/>
                <w:i/>
                <w:iCs/>
                <w:sz w:val="18"/>
                <w:szCs w:val="18"/>
              </w:rPr>
              <w:t>actioned</w:t>
            </w:r>
            <w:proofErr w:type="spellEnd"/>
            <w:r>
              <w:rPr>
                <w:rFonts w:ascii="Arial" w:hAnsi="Arial" w:cs="Arial"/>
                <w:i/>
                <w:iCs/>
                <w:sz w:val="18"/>
                <w:szCs w:val="18"/>
              </w:rPr>
              <w:t xml:space="preserve"> within a</w:t>
            </w:r>
            <w:r w:rsidRPr="002B791A">
              <w:rPr>
                <w:rFonts w:ascii="Arial" w:hAnsi="Arial" w:cs="Arial"/>
                <w:i/>
                <w:iCs/>
                <w:sz w:val="18"/>
                <w:szCs w:val="18"/>
              </w:rPr>
              <w:t xml:space="preserve"> </w:t>
            </w:r>
            <w:r>
              <w:rPr>
                <w:rFonts w:ascii="Arial" w:hAnsi="Arial" w:cs="Arial"/>
                <w:i/>
                <w:iCs/>
                <w:sz w:val="18"/>
                <w:szCs w:val="18"/>
              </w:rPr>
              <w:t>specific</w:t>
            </w:r>
            <w:r w:rsidRPr="002B791A">
              <w:rPr>
                <w:rFonts w:ascii="Arial" w:hAnsi="Arial" w:cs="Arial"/>
                <w:i/>
                <w:iCs/>
                <w:sz w:val="18"/>
                <w:szCs w:val="18"/>
              </w:rPr>
              <w:t xml:space="preserve"> </w:t>
            </w:r>
            <w:r>
              <w:rPr>
                <w:rFonts w:ascii="Arial" w:hAnsi="Arial" w:cs="Arial"/>
                <w:i/>
                <w:iCs/>
                <w:sz w:val="18"/>
                <w:szCs w:val="18"/>
              </w:rPr>
              <w:t>timeframe. A lead member</w:t>
            </w:r>
            <w:r w:rsidRPr="002B791A">
              <w:rPr>
                <w:rFonts w:ascii="Arial" w:hAnsi="Arial" w:cs="Arial"/>
                <w:i/>
                <w:iCs/>
                <w:sz w:val="18"/>
                <w:szCs w:val="18"/>
              </w:rPr>
              <w:t xml:space="preserve"> </w:t>
            </w:r>
            <w:r>
              <w:rPr>
                <w:rFonts w:ascii="Arial" w:hAnsi="Arial" w:cs="Arial"/>
                <w:i/>
                <w:iCs/>
                <w:sz w:val="18"/>
                <w:szCs w:val="18"/>
              </w:rPr>
              <w:t>of the team will be identified</w:t>
            </w:r>
            <w:r w:rsidRPr="002B791A">
              <w:rPr>
                <w:rFonts w:ascii="Arial" w:hAnsi="Arial" w:cs="Arial"/>
                <w:i/>
                <w:iCs/>
                <w:sz w:val="18"/>
                <w:szCs w:val="18"/>
              </w:rPr>
              <w:t xml:space="preserve"> </w:t>
            </w:r>
            <w:r>
              <w:rPr>
                <w:rFonts w:ascii="Arial" w:hAnsi="Arial" w:cs="Arial"/>
                <w:i/>
                <w:iCs/>
                <w:sz w:val="18"/>
                <w:szCs w:val="18"/>
              </w:rPr>
              <w:t>to take each change</w:t>
            </w:r>
            <w:r w:rsidRPr="002B791A">
              <w:rPr>
                <w:rFonts w:ascii="Arial" w:hAnsi="Arial" w:cs="Arial"/>
                <w:i/>
                <w:iCs/>
                <w:sz w:val="18"/>
                <w:szCs w:val="18"/>
              </w:rPr>
              <w:t xml:space="preserve"> </w:t>
            </w:r>
            <w:r>
              <w:rPr>
                <w:rFonts w:ascii="Arial" w:hAnsi="Arial" w:cs="Arial"/>
                <w:i/>
                <w:iCs/>
                <w:sz w:val="18"/>
                <w:szCs w:val="18"/>
              </w:rPr>
              <w:t>forward</w:t>
            </w:r>
            <w:r w:rsidRPr="002B791A">
              <w:rPr>
                <w:rFonts w:ascii="Arial" w:hAnsi="Arial" w:cs="Arial"/>
                <w:i/>
                <w:iCs/>
                <w:sz w:val="18"/>
                <w:szCs w:val="18"/>
              </w:rPr>
              <w:t xml:space="preserve"> </w:t>
            </w:r>
            <w:r>
              <w:rPr>
                <w:rFonts w:ascii="Arial" w:hAnsi="Arial" w:cs="Arial"/>
                <w:i/>
                <w:iCs/>
                <w:sz w:val="18"/>
                <w:szCs w:val="18"/>
              </w:rPr>
              <w:t>where appropriate.</w:t>
            </w:r>
            <w:r w:rsidRPr="002B791A">
              <w:rPr>
                <w:rFonts w:ascii="Arial" w:hAnsi="Arial" w:cs="Arial"/>
                <w:i/>
                <w:iCs/>
                <w:sz w:val="18"/>
                <w:szCs w:val="18"/>
              </w:rPr>
              <w:t xml:space="preserve"> </w:t>
            </w:r>
            <w:r>
              <w:rPr>
                <w:rFonts w:ascii="Arial" w:hAnsi="Arial" w:cs="Arial"/>
                <w:i/>
                <w:iCs/>
                <w:sz w:val="18"/>
                <w:szCs w:val="18"/>
              </w:rPr>
              <w:t>Lessons</w:t>
            </w:r>
            <w:r w:rsidRPr="002B791A">
              <w:rPr>
                <w:rFonts w:ascii="Arial" w:hAnsi="Arial" w:cs="Arial"/>
                <w:i/>
                <w:iCs/>
                <w:sz w:val="18"/>
                <w:szCs w:val="18"/>
              </w:rPr>
              <w:t xml:space="preserve"> </w:t>
            </w:r>
            <w:r>
              <w:rPr>
                <w:rFonts w:ascii="Arial" w:hAnsi="Arial" w:cs="Arial"/>
                <w:i/>
                <w:iCs/>
                <w:sz w:val="18"/>
                <w:szCs w:val="18"/>
              </w:rPr>
              <w:t>will be shared with all</w:t>
            </w:r>
            <w:r w:rsidRPr="002B791A">
              <w:rPr>
                <w:rFonts w:ascii="Arial" w:hAnsi="Arial" w:cs="Arial"/>
                <w:i/>
                <w:iCs/>
                <w:sz w:val="18"/>
                <w:szCs w:val="18"/>
              </w:rPr>
              <w:t xml:space="preserve"> </w:t>
            </w:r>
            <w:r>
              <w:rPr>
                <w:rFonts w:ascii="Arial" w:hAnsi="Arial" w:cs="Arial"/>
                <w:i/>
                <w:iCs/>
                <w:sz w:val="18"/>
                <w:szCs w:val="18"/>
              </w:rPr>
              <w:t>the</w:t>
            </w:r>
            <w:r w:rsidRPr="002B791A">
              <w:rPr>
                <w:rFonts w:ascii="Arial" w:hAnsi="Arial" w:cs="Arial"/>
                <w:i/>
                <w:iCs/>
                <w:sz w:val="18"/>
                <w:szCs w:val="18"/>
              </w:rPr>
              <w:t xml:space="preserve"> </w:t>
            </w:r>
            <w:r>
              <w:rPr>
                <w:rFonts w:ascii="Arial" w:hAnsi="Arial" w:cs="Arial"/>
                <w:i/>
                <w:iCs/>
                <w:sz w:val="18"/>
                <w:szCs w:val="18"/>
              </w:rPr>
              <w:t>relevant</w:t>
            </w:r>
            <w:r w:rsidRPr="002B791A">
              <w:rPr>
                <w:rFonts w:ascii="Arial" w:hAnsi="Arial" w:cs="Arial"/>
                <w:i/>
                <w:iCs/>
                <w:sz w:val="18"/>
                <w:szCs w:val="18"/>
              </w:rPr>
              <w:t xml:space="preserve"> </w:t>
            </w:r>
            <w:r>
              <w:rPr>
                <w:rFonts w:ascii="Arial" w:hAnsi="Arial" w:cs="Arial"/>
                <w:i/>
                <w:iCs/>
                <w:sz w:val="18"/>
                <w:szCs w:val="18"/>
              </w:rPr>
              <w:t>stakeholders.</w:t>
            </w:r>
          </w:p>
        </w:tc>
      </w:tr>
    </w:tbl>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3"/>
        <w:ind w:left="0"/>
        <w:rPr>
          <w:i/>
          <w:iCs/>
          <w:sz w:val="20"/>
          <w:szCs w:val="20"/>
        </w:rPr>
      </w:pPr>
    </w:p>
    <w:p w:rsidR="00FC5932" w:rsidRDefault="00FC5932" w:rsidP="00FC5932">
      <w:pPr>
        <w:pStyle w:val="BodyText"/>
        <w:kinsoku w:val="0"/>
        <w:overflowPunct w:val="0"/>
        <w:spacing w:before="77"/>
        <w:ind w:left="0" w:right="920"/>
        <w:jc w:val="right"/>
        <w:rPr>
          <w:sz w:val="18"/>
          <w:szCs w:val="18"/>
        </w:rPr>
        <w:sectPr w:rsidR="00FC5932">
          <w:footerReference w:type="default" r:id="rId11"/>
          <w:pgSz w:w="16840" w:h="11900" w:orient="landscape"/>
          <w:pgMar w:top="1100" w:right="880" w:bottom="280" w:left="960" w:header="0" w:footer="0" w:gutter="0"/>
          <w:cols w:space="720" w:equalWidth="0">
            <w:col w:w="15000"/>
          </w:cols>
          <w:noEndnote/>
        </w:sectPr>
      </w:pPr>
    </w:p>
    <w:p w:rsidR="00FC5932" w:rsidRDefault="00FC5932" w:rsidP="00FC5932">
      <w:pPr>
        <w:pStyle w:val="Heading2"/>
        <w:numPr>
          <w:ilvl w:val="0"/>
          <w:numId w:val="20"/>
        </w:numPr>
        <w:tabs>
          <w:tab w:val="left" w:pos="640"/>
        </w:tabs>
        <w:kinsoku w:val="0"/>
        <w:overflowPunct w:val="0"/>
        <w:spacing w:before="58"/>
        <w:ind w:left="639" w:hanging="539"/>
        <w:rPr>
          <w:b w:val="0"/>
          <w:bCs w:val="0"/>
        </w:rPr>
      </w:pPr>
      <w:r>
        <w:lastRenderedPageBreak/>
        <w:t>Associated documentation</w:t>
      </w:r>
    </w:p>
    <w:p w:rsidR="00317E89" w:rsidRDefault="00317E89" w:rsidP="00FC5932">
      <w:pPr>
        <w:pStyle w:val="BodyText"/>
        <w:kinsoku w:val="0"/>
        <w:overflowPunct w:val="0"/>
      </w:pPr>
    </w:p>
    <w:p w:rsidR="00FC5932" w:rsidRDefault="00317E89" w:rsidP="00FC5932">
      <w:pPr>
        <w:pStyle w:val="BodyText"/>
        <w:kinsoku w:val="0"/>
        <w:overflowPunct w:val="0"/>
      </w:pPr>
      <w:r>
        <w:t xml:space="preserve">Incentive </w:t>
      </w:r>
      <w:proofErr w:type="spellStart"/>
      <w:r>
        <w:t>Spirometry</w:t>
      </w:r>
      <w:proofErr w:type="spellEnd"/>
      <w:r>
        <w:t xml:space="preserve"> guideline for adults admitted with sickle cell crisis at risk of acute chest syndrome</w:t>
      </w:r>
    </w:p>
    <w:p w:rsidR="00FC5932" w:rsidRDefault="00FC5932" w:rsidP="00FC5932">
      <w:pPr>
        <w:pStyle w:val="BodyText"/>
        <w:kinsoku w:val="0"/>
        <w:overflowPunct w:val="0"/>
        <w:ind w:left="0"/>
      </w:pPr>
    </w:p>
    <w:p w:rsidR="00FC5932" w:rsidRDefault="00FC5932" w:rsidP="00FC5932">
      <w:pPr>
        <w:pStyle w:val="BodyText"/>
        <w:kinsoku w:val="0"/>
        <w:overflowPunct w:val="0"/>
        <w:spacing w:before="11"/>
        <w:ind w:left="0"/>
        <w:rPr>
          <w:sz w:val="21"/>
          <w:szCs w:val="21"/>
        </w:rPr>
      </w:pPr>
    </w:p>
    <w:p w:rsidR="00FC5932" w:rsidRDefault="00FC5932" w:rsidP="00FC5932">
      <w:pPr>
        <w:pStyle w:val="Heading2"/>
        <w:numPr>
          <w:ilvl w:val="0"/>
          <w:numId w:val="20"/>
        </w:numPr>
        <w:tabs>
          <w:tab w:val="left" w:pos="636"/>
        </w:tabs>
        <w:kinsoku w:val="0"/>
        <w:overflowPunct w:val="0"/>
        <w:spacing w:line="276" w:lineRule="exact"/>
        <w:ind w:left="635"/>
        <w:rPr>
          <w:b w:val="0"/>
          <w:bCs w:val="0"/>
        </w:rPr>
      </w:pPr>
      <w:r>
        <w:t>References</w:t>
      </w:r>
    </w:p>
    <w:p w:rsidR="0022350C" w:rsidRDefault="0022350C" w:rsidP="001C49BB">
      <w:pPr>
        <w:ind w:left="635"/>
        <w:rPr>
          <w:rFonts w:ascii="Arial" w:hAnsi="Arial" w:cs="Arial"/>
          <w:sz w:val="22"/>
          <w:szCs w:val="22"/>
        </w:rPr>
      </w:pPr>
    </w:p>
    <w:p w:rsidR="008004AB" w:rsidRDefault="008004AB" w:rsidP="008004AB">
      <w:pPr>
        <w:pStyle w:val="Default"/>
        <w:numPr>
          <w:ilvl w:val="0"/>
          <w:numId w:val="14"/>
        </w:numPr>
        <w:rPr>
          <w:rFonts w:ascii="Arial" w:hAnsi="Arial" w:cs="Arial"/>
          <w:sz w:val="22"/>
          <w:szCs w:val="22"/>
        </w:rPr>
      </w:pPr>
      <w:r w:rsidRPr="009679C6">
        <w:rPr>
          <w:rFonts w:ascii="Arial" w:hAnsi="Arial" w:cs="Arial"/>
          <w:sz w:val="22"/>
          <w:szCs w:val="22"/>
        </w:rPr>
        <w:t xml:space="preserve">West Midlands Review Service – Quality Standards: Health Services for People with Haemoglobin Disorders (2018/19) </w:t>
      </w:r>
    </w:p>
    <w:p w:rsidR="008004AB" w:rsidRPr="009679C6" w:rsidRDefault="008004AB" w:rsidP="008004AB">
      <w:pPr>
        <w:pStyle w:val="Default"/>
        <w:ind w:left="720"/>
        <w:rPr>
          <w:rFonts w:ascii="Arial" w:hAnsi="Arial" w:cs="Arial"/>
          <w:sz w:val="22"/>
          <w:szCs w:val="22"/>
        </w:rPr>
      </w:pPr>
    </w:p>
    <w:p w:rsidR="008004AB" w:rsidRDefault="008004AB" w:rsidP="008004AB">
      <w:pPr>
        <w:pStyle w:val="Default"/>
        <w:numPr>
          <w:ilvl w:val="0"/>
          <w:numId w:val="14"/>
        </w:numPr>
        <w:rPr>
          <w:rFonts w:ascii="Arial" w:hAnsi="Arial" w:cs="Arial"/>
          <w:sz w:val="22"/>
          <w:szCs w:val="22"/>
        </w:rPr>
      </w:pPr>
      <w:r w:rsidRPr="009679C6">
        <w:rPr>
          <w:rFonts w:ascii="Arial" w:hAnsi="Arial" w:cs="Arial"/>
          <w:sz w:val="22"/>
          <w:szCs w:val="22"/>
        </w:rPr>
        <w:t>Standards for the Clinical Care of</w:t>
      </w:r>
      <w:r w:rsidR="0087797F">
        <w:rPr>
          <w:rFonts w:ascii="Arial" w:hAnsi="Arial" w:cs="Arial"/>
          <w:sz w:val="22"/>
          <w:szCs w:val="22"/>
        </w:rPr>
        <w:t xml:space="preserve"> </w:t>
      </w:r>
      <w:r w:rsidRPr="009679C6">
        <w:rPr>
          <w:rFonts w:ascii="Arial" w:hAnsi="Arial" w:cs="Arial"/>
          <w:sz w:val="22"/>
          <w:szCs w:val="22"/>
        </w:rPr>
        <w:t xml:space="preserve">Adults with Sickle Cell Disease in the UK 2018 (Sickle Cell Society) </w:t>
      </w:r>
      <w:hyperlink r:id="rId12" w:history="1">
        <w:r w:rsidRPr="009679C6">
          <w:rPr>
            <w:rStyle w:val="Hyperlink"/>
            <w:rFonts w:ascii="Arial" w:hAnsi="Arial" w:cs="Arial"/>
            <w:sz w:val="22"/>
            <w:szCs w:val="22"/>
          </w:rPr>
          <w:t>https://www.sicklecellsociety.org/wp-content/uploads/2018/04/Web-version-FINAL-SCS-Standards-GSM-6.4.18.pdf</w:t>
        </w:r>
      </w:hyperlink>
      <w:r w:rsidRPr="009679C6">
        <w:rPr>
          <w:rFonts w:ascii="Arial" w:hAnsi="Arial" w:cs="Arial"/>
          <w:sz w:val="22"/>
          <w:szCs w:val="22"/>
        </w:rPr>
        <w:t xml:space="preserve"> </w:t>
      </w:r>
    </w:p>
    <w:p w:rsidR="008004AB" w:rsidRPr="009679C6" w:rsidRDefault="008004AB" w:rsidP="008004AB">
      <w:pPr>
        <w:pStyle w:val="Default"/>
        <w:rPr>
          <w:rFonts w:ascii="Arial" w:hAnsi="Arial" w:cs="Arial"/>
          <w:sz w:val="22"/>
          <w:szCs w:val="22"/>
        </w:rPr>
      </w:pPr>
    </w:p>
    <w:p w:rsidR="008004AB" w:rsidRPr="00FE5F60" w:rsidRDefault="008004AB" w:rsidP="008004AB">
      <w:pPr>
        <w:pStyle w:val="ListParagraph"/>
        <w:numPr>
          <w:ilvl w:val="0"/>
          <w:numId w:val="14"/>
        </w:numPr>
        <w:rPr>
          <w:rFonts w:ascii="Arial" w:hAnsi="Arial" w:cs="Arial"/>
          <w:sz w:val="22"/>
          <w:szCs w:val="22"/>
        </w:rPr>
      </w:pPr>
      <w:r w:rsidRPr="009679C6">
        <w:rPr>
          <w:rFonts w:ascii="Arial" w:hAnsi="Arial" w:cs="Arial"/>
          <w:sz w:val="22"/>
          <w:szCs w:val="22"/>
        </w:rPr>
        <w:t xml:space="preserve">British Society Haematology : guidelines </w:t>
      </w:r>
      <w:r w:rsidRPr="009679C6">
        <w:rPr>
          <w:rFonts w:ascii="Arial" w:hAnsi="Arial" w:cs="Arial"/>
          <w:color w:val="000000"/>
          <w:sz w:val="22"/>
          <w:szCs w:val="22"/>
        </w:rPr>
        <w:t xml:space="preserve">Red Cell Transfusion in Sickle Cell Disease Part I and Part II (7.11.17 and 18.11.18) </w:t>
      </w:r>
      <w:hyperlink r:id="rId13" w:history="1">
        <w:r w:rsidRPr="009679C6">
          <w:rPr>
            <w:rStyle w:val="Hyperlink"/>
            <w:rFonts w:ascii="Arial" w:hAnsi="Arial" w:cs="Arial"/>
            <w:sz w:val="22"/>
            <w:szCs w:val="22"/>
          </w:rPr>
          <w:t>https://b-s-h.org.uk/guidelines/guidelines/red-cell-transfusion-in-sickle-cell-disease-part-l/</w:t>
        </w:r>
      </w:hyperlink>
      <w:r w:rsidRPr="009679C6">
        <w:rPr>
          <w:rFonts w:ascii="Arial" w:hAnsi="Arial" w:cs="Arial"/>
          <w:color w:val="000000"/>
          <w:sz w:val="22"/>
          <w:szCs w:val="22"/>
        </w:rPr>
        <w:t xml:space="preserve"> </w:t>
      </w:r>
    </w:p>
    <w:p w:rsidR="008004AB" w:rsidRPr="009679C6" w:rsidRDefault="008004AB" w:rsidP="008004AB">
      <w:pPr>
        <w:pStyle w:val="ListParagraph"/>
        <w:ind w:left="720"/>
        <w:rPr>
          <w:rFonts w:ascii="Arial" w:hAnsi="Arial" w:cs="Arial"/>
          <w:sz w:val="22"/>
          <w:szCs w:val="22"/>
        </w:rPr>
      </w:pPr>
    </w:p>
    <w:p w:rsidR="008004AB" w:rsidRPr="001C49BB" w:rsidRDefault="008004AB" w:rsidP="001C49BB">
      <w:pPr>
        <w:ind w:left="635"/>
        <w:rPr>
          <w:rFonts w:ascii="Arial" w:hAnsi="Arial" w:cs="Arial"/>
          <w:sz w:val="22"/>
          <w:szCs w:val="22"/>
        </w:rPr>
      </w:pPr>
    </w:p>
    <w:sectPr w:rsidR="008004AB" w:rsidRPr="001C49BB" w:rsidSect="00A35FA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39" w:rsidRDefault="00A02639" w:rsidP="00FC5932">
      <w:r>
        <w:separator/>
      </w:r>
    </w:p>
  </w:endnote>
  <w:endnote w:type="continuationSeparator" w:id="0">
    <w:p w:rsidR="00A02639" w:rsidRDefault="00A02639" w:rsidP="00FC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pple Symbols">
    <w:altName w:val="Times New Roman"/>
    <w:charset w:val="00"/>
    <w:family w:val="auto"/>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BodyText"/>
      <w:kinsoku w:val="0"/>
      <w:overflowPunct w:val="0"/>
      <w:spacing w:line="14" w:lineRule="auto"/>
      <w:ind w:left="0"/>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39" w:rsidRDefault="00A02639" w:rsidP="00FC5932">
      <w:r>
        <w:separator/>
      </w:r>
    </w:p>
  </w:footnote>
  <w:footnote w:type="continuationSeparator" w:id="0">
    <w:p w:rsidR="00A02639" w:rsidRDefault="00A02639" w:rsidP="00FC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Header"/>
    </w:pPr>
  </w:p>
  <w:p w:rsidR="00A02639" w:rsidRDefault="00A02639" w:rsidP="00CE1C71">
    <w:pPr>
      <w:pStyle w:val="Header"/>
      <w:ind w:left="5040"/>
    </w:pPr>
    <w:r>
      <w:rPr>
        <w:noProof/>
      </w:rPr>
      <w:drawing>
        <wp:inline distT="0" distB="0" distL="0" distR="0">
          <wp:extent cx="3224173" cy="35729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586" cy="3548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380" w:hanging="361"/>
      </w:pPr>
      <w:rPr>
        <w:rFonts w:ascii="Symbol" w:hAnsi="Symbol" w:cs="Courier New"/>
        <w:b w:val="0"/>
        <w:bCs w:val="0"/>
        <w:w w:val="99"/>
        <w:sz w:val="22"/>
        <w:szCs w:val="22"/>
      </w:rPr>
    </w:lvl>
    <w:lvl w:ilvl="1">
      <w:numFmt w:val="bullet"/>
      <w:lvlText w:val="•"/>
      <w:lvlJc w:val="left"/>
      <w:pPr>
        <w:ind w:left="2168" w:hanging="361"/>
      </w:pPr>
    </w:lvl>
    <w:lvl w:ilvl="2">
      <w:numFmt w:val="bullet"/>
      <w:lvlText w:val="•"/>
      <w:lvlJc w:val="left"/>
      <w:pPr>
        <w:ind w:left="2956" w:hanging="361"/>
      </w:pPr>
    </w:lvl>
    <w:lvl w:ilvl="3">
      <w:numFmt w:val="bullet"/>
      <w:lvlText w:val="•"/>
      <w:lvlJc w:val="left"/>
      <w:pPr>
        <w:ind w:left="3744" w:hanging="361"/>
      </w:pPr>
    </w:lvl>
    <w:lvl w:ilvl="4">
      <w:numFmt w:val="bullet"/>
      <w:lvlText w:val="•"/>
      <w:lvlJc w:val="left"/>
      <w:pPr>
        <w:ind w:left="4532" w:hanging="361"/>
      </w:pPr>
    </w:lvl>
    <w:lvl w:ilvl="5">
      <w:numFmt w:val="bullet"/>
      <w:lvlText w:val="•"/>
      <w:lvlJc w:val="left"/>
      <w:pPr>
        <w:ind w:left="5320" w:hanging="361"/>
      </w:pPr>
    </w:lvl>
    <w:lvl w:ilvl="6">
      <w:numFmt w:val="bullet"/>
      <w:lvlText w:val="•"/>
      <w:lvlJc w:val="left"/>
      <w:pPr>
        <w:ind w:left="6108" w:hanging="361"/>
      </w:pPr>
    </w:lvl>
    <w:lvl w:ilvl="7">
      <w:numFmt w:val="bullet"/>
      <w:lvlText w:val="•"/>
      <w:lvlJc w:val="left"/>
      <w:pPr>
        <w:ind w:left="6896" w:hanging="361"/>
      </w:pPr>
    </w:lvl>
    <w:lvl w:ilvl="8">
      <w:numFmt w:val="bullet"/>
      <w:lvlText w:val="•"/>
      <w:lvlJc w:val="left"/>
      <w:pPr>
        <w:ind w:left="7684" w:hanging="361"/>
      </w:pPr>
    </w:lvl>
  </w:abstractNum>
  <w:abstractNum w:abstractNumId="1">
    <w:nsid w:val="00000403"/>
    <w:multiLevelType w:val="multilevel"/>
    <w:tmpl w:val="00000886"/>
    <w:lvl w:ilvl="0">
      <w:start w:val="1"/>
      <w:numFmt w:val="decimal"/>
      <w:lvlText w:val="%1."/>
      <w:lvlJc w:val="left"/>
      <w:pPr>
        <w:ind w:left="640" w:hanging="540"/>
      </w:pPr>
      <w:rPr>
        <w:rFonts w:ascii="Arial" w:hAnsi="Arial" w:cs="Symbol"/>
        <w:b/>
        <w:bCs/>
        <w:w w:val="99"/>
      </w:rPr>
    </w:lvl>
    <w:lvl w:ilvl="1">
      <w:numFmt w:val="bullet"/>
      <w:lvlText w:val=""/>
      <w:lvlJc w:val="left"/>
      <w:pPr>
        <w:ind w:left="1359" w:hanging="361"/>
      </w:pPr>
      <w:rPr>
        <w:rFonts w:ascii="Symbol" w:hAnsi="Symbol" w:cs="Courier New"/>
        <w:b w:val="0"/>
        <w:bCs w:val="0"/>
        <w:w w:val="99"/>
        <w:sz w:val="22"/>
        <w:szCs w:val="22"/>
      </w:rPr>
    </w:lvl>
    <w:lvl w:ilvl="2">
      <w:numFmt w:val="bullet"/>
      <w:lvlText w:val="•"/>
      <w:lvlJc w:val="left"/>
      <w:pPr>
        <w:ind w:left="940" w:hanging="361"/>
      </w:pPr>
    </w:lvl>
    <w:lvl w:ilvl="3">
      <w:numFmt w:val="bullet"/>
      <w:lvlText w:val="•"/>
      <w:lvlJc w:val="left"/>
      <w:pPr>
        <w:ind w:left="1360" w:hanging="361"/>
      </w:pPr>
    </w:lvl>
    <w:lvl w:ilvl="4">
      <w:numFmt w:val="bullet"/>
      <w:lvlText w:val="•"/>
      <w:lvlJc w:val="left"/>
      <w:pPr>
        <w:ind w:left="2488" w:hanging="361"/>
      </w:pPr>
    </w:lvl>
    <w:lvl w:ilvl="5">
      <w:numFmt w:val="bullet"/>
      <w:lvlText w:val="•"/>
      <w:lvlJc w:val="left"/>
      <w:pPr>
        <w:ind w:left="3617" w:hanging="361"/>
      </w:pPr>
    </w:lvl>
    <w:lvl w:ilvl="6">
      <w:numFmt w:val="bullet"/>
      <w:lvlText w:val="•"/>
      <w:lvlJc w:val="left"/>
      <w:pPr>
        <w:ind w:left="4745" w:hanging="361"/>
      </w:pPr>
    </w:lvl>
    <w:lvl w:ilvl="7">
      <w:numFmt w:val="bullet"/>
      <w:lvlText w:val="•"/>
      <w:lvlJc w:val="left"/>
      <w:pPr>
        <w:ind w:left="5874" w:hanging="361"/>
      </w:pPr>
    </w:lvl>
    <w:lvl w:ilvl="8">
      <w:numFmt w:val="bullet"/>
      <w:lvlText w:val="•"/>
      <w:lvlJc w:val="left"/>
      <w:pPr>
        <w:ind w:left="7002" w:hanging="361"/>
      </w:pPr>
    </w:lvl>
  </w:abstractNum>
  <w:abstractNum w:abstractNumId="2">
    <w:nsid w:val="00000404"/>
    <w:multiLevelType w:val="multilevel"/>
    <w:tmpl w:val="00000887"/>
    <w:lvl w:ilvl="0">
      <w:start w:val="5"/>
      <w:numFmt w:val="decimal"/>
      <w:lvlText w:val="%1"/>
      <w:lvlJc w:val="left"/>
      <w:pPr>
        <w:ind w:left="1007" w:hanging="367"/>
      </w:pPr>
    </w:lvl>
    <w:lvl w:ilvl="1">
      <w:start w:val="1"/>
      <w:numFmt w:val="decimal"/>
      <w:lvlText w:val="%1.%2"/>
      <w:lvlJc w:val="left"/>
      <w:pPr>
        <w:ind w:left="1007" w:hanging="367"/>
      </w:pPr>
      <w:rPr>
        <w:rFonts w:ascii="Arial" w:hAnsi="Arial" w:cs="Symbol"/>
        <w:b/>
        <w:bCs/>
        <w:w w:val="99"/>
        <w:sz w:val="22"/>
        <w:szCs w:val="22"/>
      </w:rPr>
    </w:lvl>
    <w:lvl w:ilvl="2">
      <w:numFmt w:val="bullet"/>
      <w:lvlText w:val=""/>
      <w:lvlJc w:val="left"/>
      <w:pPr>
        <w:ind w:left="1359" w:hanging="360"/>
      </w:pPr>
      <w:rPr>
        <w:rFonts w:ascii="Symbol" w:hAnsi="Symbol" w:cs="Courier New"/>
        <w:b w:val="0"/>
        <w:bCs w:val="0"/>
        <w:w w:val="99"/>
        <w:sz w:val="22"/>
        <w:szCs w:val="22"/>
      </w:rPr>
    </w:lvl>
    <w:lvl w:ilvl="3">
      <w:numFmt w:val="bullet"/>
      <w:lvlText w:val="•"/>
      <w:lvlJc w:val="left"/>
      <w:pPr>
        <w:ind w:left="2522" w:hanging="360"/>
      </w:pPr>
    </w:lvl>
    <w:lvl w:ilvl="4">
      <w:numFmt w:val="bullet"/>
      <w:lvlText w:val="•"/>
      <w:lvlJc w:val="left"/>
      <w:pPr>
        <w:ind w:left="3485" w:hanging="360"/>
      </w:pPr>
    </w:lvl>
    <w:lvl w:ilvl="5">
      <w:numFmt w:val="bullet"/>
      <w:lvlText w:val="•"/>
      <w:lvlJc w:val="left"/>
      <w:pPr>
        <w:ind w:left="4447" w:hanging="360"/>
      </w:pPr>
    </w:lvl>
    <w:lvl w:ilvl="6">
      <w:numFmt w:val="bullet"/>
      <w:lvlText w:val="•"/>
      <w:lvlJc w:val="left"/>
      <w:pPr>
        <w:ind w:left="5410" w:hanging="360"/>
      </w:pPr>
    </w:lvl>
    <w:lvl w:ilvl="7">
      <w:numFmt w:val="bullet"/>
      <w:lvlText w:val="•"/>
      <w:lvlJc w:val="left"/>
      <w:pPr>
        <w:ind w:left="6372" w:hanging="360"/>
      </w:pPr>
    </w:lvl>
    <w:lvl w:ilvl="8">
      <w:numFmt w:val="bullet"/>
      <w:lvlText w:val="•"/>
      <w:lvlJc w:val="left"/>
      <w:pPr>
        <w:ind w:left="7335" w:hanging="360"/>
      </w:pPr>
    </w:lvl>
  </w:abstractNum>
  <w:abstractNum w:abstractNumId="3">
    <w:nsid w:val="00000405"/>
    <w:multiLevelType w:val="multilevel"/>
    <w:tmpl w:val="00000888"/>
    <w:lvl w:ilvl="0">
      <w:start w:val="6"/>
      <w:numFmt w:val="decimal"/>
      <w:lvlText w:val="%1"/>
      <w:lvlJc w:val="left"/>
      <w:pPr>
        <w:ind w:left="1007" w:hanging="367"/>
      </w:pPr>
    </w:lvl>
    <w:lvl w:ilvl="1">
      <w:start w:val="1"/>
      <w:numFmt w:val="decimal"/>
      <w:lvlText w:val="%1.%2"/>
      <w:lvlJc w:val="left"/>
      <w:pPr>
        <w:ind w:left="1007" w:hanging="367"/>
      </w:pPr>
      <w:rPr>
        <w:rFonts w:ascii="Arial" w:hAnsi="Arial" w:cs="Symbol"/>
        <w:b/>
        <w:bCs/>
        <w:w w:val="99"/>
        <w:sz w:val="22"/>
        <w:szCs w:val="22"/>
      </w:rPr>
    </w:lvl>
    <w:lvl w:ilvl="2">
      <w:numFmt w:val="bullet"/>
      <w:lvlText w:val="•"/>
      <w:lvlJc w:val="left"/>
      <w:pPr>
        <w:ind w:left="2295" w:hanging="367"/>
      </w:pPr>
    </w:lvl>
    <w:lvl w:ilvl="3">
      <w:numFmt w:val="bullet"/>
      <w:lvlText w:val="•"/>
      <w:lvlJc w:val="left"/>
      <w:pPr>
        <w:ind w:left="3231" w:hanging="367"/>
      </w:pPr>
    </w:lvl>
    <w:lvl w:ilvl="4">
      <w:numFmt w:val="bullet"/>
      <w:lvlText w:val="•"/>
      <w:lvlJc w:val="left"/>
      <w:pPr>
        <w:ind w:left="4166" w:hanging="367"/>
      </w:pPr>
    </w:lvl>
    <w:lvl w:ilvl="5">
      <w:numFmt w:val="bullet"/>
      <w:lvlText w:val="•"/>
      <w:lvlJc w:val="left"/>
      <w:pPr>
        <w:ind w:left="5102" w:hanging="367"/>
      </w:pPr>
    </w:lvl>
    <w:lvl w:ilvl="6">
      <w:numFmt w:val="bullet"/>
      <w:lvlText w:val="•"/>
      <w:lvlJc w:val="left"/>
      <w:pPr>
        <w:ind w:left="6037" w:hanging="367"/>
      </w:pPr>
    </w:lvl>
    <w:lvl w:ilvl="7">
      <w:numFmt w:val="bullet"/>
      <w:lvlText w:val="•"/>
      <w:lvlJc w:val="left"/>
      <w:pPr>
        <w:ind w:left="6973" w:hanging="367"/>
      </w:pPr>
    </w:lvl>
    <w:lvl w:ilvl="8">
      <w:numFmt w:val="bullet"/>
      <w:lvlText w:val="•"/>
      <w:lvlJc w:val="left"/>
      <w:pPr>
        <w:ind w:left="7908" w:hanging="367"/>
      </w:pPr>
    </w:lvl>
  </w:abstractNum>
  <w:abstractNum w:abstractNumId="4">
    <w:nsid w:val="00000406"/>
    <w:multiLevelType w:val="multilevel"/>
    <w:tmpl w:val="00000889"/>
    <w:lvl w:ilvl="0">
      <w:numFmt w:val="bullet"/>
      <w:lvlText w:val="-"/>
      <w:lvlJc w:val="left"/>
      <w:pPr>
        <w:ind w:left="1359" w:hanging="360"/>
      </w:pPr>
      <w:rPr>
        <w:rFonts w:ascii="Times New Roman" w:hAnsi="Times New Roman" w:cs="Times New Roman"/>
        <w:b w:val="0"/>
        <w:bCs w:val="0"/>
        <w:w w:val="99"/>
        <w:sz w:val="22"/>
        <w:szCs w:val="22"/>
      </w:rPr>
    </w:lvl>
    <w:lvl w:ilvl="1">
      <w:numFmt w:val="bullet"/>
      <w:lvlText w:val="•"/>
      <w:lvlJc w:val="left"/>
      <w:pPr>
        <w:ind w:left="2202" w:hanging="360"/>
      </w:pPr>
    </w:lvl>
    <w:lvl w:ilvl="2">
      <w:numFmt w:val="bullet"/>
      <w:lvlText w:val="•"/>
      <w:lvlJc w:val="left"/>
      <w:pPr>
        <w:ind w:left="3044" w:hanging="360"/>
      </w:pPr>
    </w:lvl>
    <w:lvl w:ilvl="3">
      <w:numFmt w:val="bullet"/>
      <w:lvlText w:val="•"/>
      <w:lvlJc w:val="left"/>
      <w:pPr>
        <w:ind w:left="3886" w:hanging="360"/>
      </w:pPr>
    </w:lvl>
    <w:lvl w:ilvl="4">
      <w:numFmt w:val="bullet"/>
      <w:lvlText w:val="•"/>
      <w:lvlJc w:val="left"/>
      <w:pPr>
        <w:ind w:left="4728" w:hanging="360"/>
      </w:pPr>
    </w:lvl>
    <w:lvl w:ilvl="5">
      <w:numFmt w:val="bullet"/>
      <w:lvlText w:val="•"/>
      <w:lvlJc w:val="left"/>
      <w:pPr>
        <w:ind w:left="5570" w:hanging="360"/>
      </w:pPr>
    </w:lvl>
    <w:lvl w:ilvl="6">
      <w:numFmt w:val="bullet"/>
      <w:lvlText w:val="•"/>
      <w:lvlJc w:val="left"/>
      <w:pPr>
        <w:ind w:left="6412" w:hanging="360"/>
      </w:pPr>
    </w:lvl>
    <w:lvl w:ilvl="7">
      <w:numFmt w:val="bullet"/>
      <w:lvlText w:val="•"/>
      <w:lvlJc w:val="left"/>
      <w:pPr>
        <w:ind w:left="7254" w:hanging="360"/>
      </w:pPr>
    </w:lvl>
    <w:lvl w:ilvl="8">
      <w:numFmt w:val="bullet"/>
      <w:lvlText w:val="•"/>
      <w:lvlJc w:val="left"/>
      <w:pPr>
        <w:ind w:left="8096" w:hanging="360"/>
      </w:pPr>
    </w:lvl>
  </w:abstractNum>
  <w:abstractNum w:abstractNumId="5">
    <w:nsid w:val="00000407"/>
    <w:multiLevelType w:val="multilevel"/>
    <w:tmpl w:val="0000088A"/>
    <w:lvl w:ilvl="0">
      <w:numFmt w:val="bullet"/>
      <w:lvlText w:val=""/>
      <w:lvlJc w:val="left"/>
      <w:pPr>
        <w:ind w:left="609" w:hanging="150"/>
      </w:pPr>
      <w:rPr>
        <w:rFonts w:ascii="Symbol" w:hAnsi="Symbol" w:cs="Courier New"/>
        <w:b w:val="0"/>
        <w:bCs w:val="0"/>
        <w:w w:val="99"/>
        <w:sz w:val="22"/>
        <w:szCs w:val="22"/>
      </w:rPr>
    </w:lvl>
    <w:lvl w:ilvl="1">
      <w:numFmt w:val="bullet"/>
      <w:lvlText w:val=""/>
      <w:lvlJc w:val="left"/>
      <w:pPr>
        <w:ind w:left="1051" w:hanging="212"/>
      </w:pPr>
      <w:rPr>
        <w:rFonts w:ascii="Symbol" w:hAnsi="Symbol" w:cs="Courier New"/>
        <w:b w:val="0"/>
        <w:bCs w:val="0"/>
        <w:w w:val="99"/>
        <w:sz w:val="22"/>
        <w:szCs w:val="22"/>
      </w:rPr>
    </w:lvl>
    <w:lvl w:ilvl="2">
      <w:numFmt w:val="bullet"/>
      <w:lvlText w:val="•"/>
      <w:lvlJc w:val="left"/>
      <w:pPr>
        <w:ind w:left="1968" w:hanging="212"/>
      </w:pPr>
    </w:lvl>
    <w:lvl w:ilvl="3">
      <w:numFmt w:val="bullet"/>
      <w:lvlText w:val="•"/>
      <w:lvlJc w:val="left"/>
      <w:pPr>
        <w:ind w:left="2877" w:hanging="212"/>
      </w:pPr>
    </w:lvl>
    <w:lvl w:ilvl="4">
      <w:numFmt w:val="bullet"/>
      <w:lvlText w:val="•"/>
      <w:lvlJc w:val="left"/>
      <w:pPr>
        <w:ind w:left="3786" w:hanging="212"/>
      </w:pPr>
    </w:lvl>
    <w:lvl w:ilvl="5">
      <w:numFmt w:val="bullet"/>
      <w:lvlText w:val="•"/>
      <w:lvlJc w:val="left"/>
      <w:pPr>
        <w:ind w:left="4695" w:hanging="212"/>
      </w:pPr>
    </w:lvl>
    <w:lvl w:ilvl="6">
      <w:numFmt w:val="bullet"/>
      <w:lvlText w:val="•"/>
      <w:lvlJc w:val="left"/>
      <w:pPr>
        <w:ind w:left="5604" w:hanging="212"/>
      </w:pPr>
    </w:lvl>
    <w:lvl w:ilvl="7">
      <w:numFmt w:val="bullet"/>
      <w:lvlText w:val="•"/>
      <w:lvlJc w:val="left"/>
      <w:pPr>
        <w:ind w:left="6513" w:hanging="212"/>
      </w:pPr>
    </w:lvl>
    <w:lvl w:ilvl="8">
      <w:numFmt w:val="bullet"/>
      <w:lvlText w:val="•"/>
      <w:lvlJc w:val="left"/>
      <w:pPr>
        <w:ind w:left="7422" w:hanging="212"/>
      </w:pPr>
    </w:lvl>
  </w:abstractNum>
  <w:abstractNum w:abstractNumId="6">
    <w:nsid w:val="00000408"/>
    <w:multiLevelType w:val="multilevel"/>
    <w:tmpl w:val="0000088B"/>
    <w:lvl w:ilvl="0">
      <w:start w:val="9"/>
      <w:numFmt w:val="decimal"/>
      <w:lvlText w:val="%1"/>
      <w:lvlJc w:val="left"/>
      <w:pPr>
        <w:ind w:left="1007" w:hanging="368"/>
      </w:pPr>
    </w:lvl>
    <w:lvl w:ilvl="1">
      <w:start w:val="1"/>
      <w:numFmt w:val="decimal"/>
      <w:lvlText w:val="%1.%2"/>
      <w:lvlJc w:val="left"/>
      <w:pPr>
        <w:ind w:left="1007" w:hanging="368"/>
      </w:pPr>
      <w:rPr>
        <w:rFonts w:ascii="Arial" w:hAnsi="Arial" w:cs="Symbol"/>
        <w:b/>
        <w:bCs/>
        <w:w w:val="99"/>
        <w:sz w:val="22"/>
        <w:szCs w:val="22"/>
      </w:rPr>
    </w:lvl>
    <w:lvl w:ilvl="2">
      <w:numFmt w:val="bullet"/>
      <w:lvlText w:val="•"/>
      <w:lvlJc w:val="left"/>
      <w:pPr>
        <w:ind w:left="2756" w:hanging="368"/>
      </w:pPr>
    </w:lvl>
    <w:lvl w:ilvl="3">
      <w:numFmt w:val="bullet"/>
      <w:lvlText w:val="•"/>
      <w:lvlJc w:val="left"/>
      <w:pPr>
        <w:ind w:left="3634" w:hanging="368"/>
      </w:pPr>
    </w:lvl>
    <w:lvl w:ilvl="4">
      <w:numFmt w:val="bullet"/>
      <w:lvlText w:val="•"/>
      <w:lvlJc w:val="left"/>
      <w:pPr>
        <w:ind w:left="4512" w:hanging="368"/>
      </w:pPr>
    </w:lvl>
    <w:lvl w:ilvl="5">
      <w:numFmt w:val="bullet"/>
      <w:lvlText w:val="•"/>
      <w:lvlJc w:val="left"/>
      <w:pPr>
        <w:ind w:left="5390" w:hanging="368"/>
      </w:pPr>
    </w:lvl>
    <w:lvl w:ilvl="6">
      <w:numFmt w:val="bullet"/>
      <w:lvlText w:val="•"/>
      <w:lvlJc w:val="left"/>
      <w:pPr>
        <w:ind w:left="6268" w:hanging="368"/>
      </w:pPr>
    </w:lvl>
    <w:lvl w:ilvl="7">
      <w:numFmt w:val="bullet"/>
      <w:lvlText w:val="•"/>
      <w:lvlJc w:val="left"/>
      <w:pPr>
        <w:ind w:left="7146" w:hanging="368"/>
      </w:pPr>
    </w:lvl>
    <w:lvl w:ilvl="8">
      <w:numFmt w:val="bullet"/>
      <w:lvlText w:val="•"/>
      <w:lvlJc w:val="left"/>
      <w:pPr>
        <w:ind w:left="8024" w:hanging="368"/>
      </w:pPr>
    </w:lvl>
  </w:abstractNum>
  <w:abstractNum w:abstractNumId="7">
    <w:nsid w:val="00000409"/>
    <w:multiLevelType w:val="multilevel"/>
    <w:tmpl w:val="0000088C"/>
    <w:lvl w:ilvl="0">
      <w:numFmt w:val="bullet"/>
      <w:lvlText w:val=""/>
      <w:lvlJc w:val="left"/>
      <w:pPr>
        <w:ind w:left="273" w:hanging="154"/>
      </w:pPr>
      <w:rPr>
        <w:rFonts w:ascii="Symbol" w:hAnsi="Symbol" w:cs="Courier New"/>
        <w:b w:val="0"/>
        <w:bCs w:val="0"/>
        <w:w w:val="99"/>
        <w:sz w:val="10"/>
        <w:szCs w:val="10"/>
      </w:rPr>
    </w:lvl>
    <w:lvl w:ilvl="1">
      <w:numFmt w:val="bullet"/>
      <w:lvlText w:val="•"/>
      <w:lvlJc w:val="left"/>
      <w:pPr>
        <w:ind w:left="527" w:hanging="154"/>
      </w:pPr>
    </w:lvl>
    <w:lvl w:ilvl="2">
      <w:numFmt w:val="bullet"/>
      <w:lvlText w:val="•"/>
      <w:lvlJc w:val="left"/>
      <w:pPr>
        <w:ind w:left="774" w:hanging="154"/>
      </w:pPr>
    </w:lvl>
    <w:lvl w:ilvl="3">
      <w:numFmt w:val="bullet"/>
      <w:lvlText w:val="•"/>
      <w:lvlJc w:val="left"/>
      <w:pPr>
        <w:ind w:left="1021" w:hanging="154"/>
      </w:pPr>
    </w:lvl>
    <w:lvl w:ilvl="4">
      <w:numFmt w:val="bullet"/>
      <w:lvlText w:val="•"/>
      <w:lvlJc w:val="left"/>
      <w:pPr>
        <w:ind w:left="1268" w:hanging="154"/>
      </w:pPr>
    </w:lvl>
    <w:lvl w:ilvl="5">
      <w:numFmt w:val="bullet"/>
      <w:lvlText w:val="•"/>
      <w:lvlJc w:val="left"/>
      <w:pPr>
        <w:ind w:left="1515" w:hanging="154"/>
      </w:pPr>
    </w:lvl>
    <w:lvl w:ilvl="6">
      <w:numFmt w:val="bullet"/>
      <w:lvlText w:val="•"/>
      <w:lvlJc w:val="left"/>
      <w:pPr>
        <w:ind w:left="1762" w:hanging="154"/>
      </w:pPr>
    </w:lvl>
    <w:lvl w:ilvl="7">
      <w:numFmt w:val="bullet"/>
      <w:lvlText w:val="•"/>
      <w:lvlJc w:val="left"/>
      <w:pPr>
        <w:ind w:left="2009" w:hanging="154"/>
      </w:pPr>
    </w:lvl>
    <w:lvl w:ilvl="8">
      <w:numFmt w:val="bullet"/>
      <w:lvlText w:val="•"/>
      <w:lvlJc w:val="left"/>
      <w:pPr>
        <w:ind w:left="2256" w:hanging="154"/>
      </w:pPr>
    </w:lvl>
  </w:abstractNum>
  <w:abstractNum w:abstractNumId="8">
    <w:nsid w:val="0000040A"/>
    <w:multiLevelType w:val="multilevel"/>
    <w:tmpl w:val="0000088D"/>
    <w:lvl w:ilvl="0">
      <w:numFmt w:val="bullet"/>
      <w:lvlText w:val=""/>
      <w:lvlJc w:val="left"/>
      <w:pPr>
        <w:ind w:left="438" w:hanging="334"/>
      </w:pPr>
      <w:rPr>
        <w:rFonts w:ascii="Symbol" w:hAnsi="Symbol" w:cs="Courier New"/>
        <w:b w:val="0"/>
        <w:bCs w:val="0"/>
        <w:w w:val="99"/>
        <w:sz w:val="10"/>
        <w:szCs w:val="10"/>
      </w:rPr>
    </w:lvl>
    <w:lvl w:ilvl="1">
      <w:numFmt w:val="bullet"/>
      <w:lvlText w:val="•"/>
      <w:lvlJc w:val="left"/>
      <w:pPr>
        <w:ind w:left="670" w:hanging="334"/>
      </w:pPr>
    </w:lvl>
    <w:lvl w:ilvl="2">
      <w:numFmt w:val="bullet"/>
      <w:lvlText w:val="•"/>
      <w:lvlJc w:val="left"/>
      <w:pPr>
        <w:ind w:left="901" w:hanging="334"/>
      </w:pPr>
    </w:lvl>
    <w:lvl w:ilvl="3">
      <w:numFmt w:val="bullet"/>
      <w:lvlText w:val="•"/>
      <w:lvlJc w:val="left"/>
      <w:pPr>
        <w:ind w:left="1131" w:hanging="334"/>
      </w:pPr>
    </w:lvl>
    <w:lvl w:ilvl="4">
      <w:numFmt w:val="bullet"/>
      <w:lvlText w:val="•"/>
      <w:lvlJc w:val="left"/>
      <w:pPr>
        <w:ind w:left="1362" w:hanging="334"/>
      </w:pPr>
    </w:lvl>
    <w:lvl w:ilvl="5">
      <w:numFmt w:val="bullet"/>
      <w:lvlText w:val="•"/>
      <w:lvlJc w:val="left"/>
      <w:pPr>
        <w:ind w:left="1592" w:hanging="334"/>
      </w:pPr>
    </w:lvl>
    <w:lvl w:ilvl="6">
      <w:numFmt w:val="bullet"/>
      <w:lvlText w:val="•"/>
      <w:lvlJc w:val="left"/>
      <w:pPr>
        <w:ind w:left="1823" w:hanging="334"/>
      </w:pPr>
    </w:lvl>
    <w:lvl w:ilvl="7">
      <w:numFmt w:val="bullet"/>
      <w:lvlText w:val="•"/>
      <w:lvlJc w:val="left"/>
      <w:pPr>
        <w:ind w:left="2053" w:hanging="334"/>
      </w:pPr>
    </w:lvl>
    <w:lvl w:ilvl="8">
      <w:numFmt w:val="bullet"/>
      <w:lvlText w:val="•"/>
      <w:lvlJc w:val="left"/>
      <w:pPr>
        <w:ind w:left="2284" w:hanging="334"/>
      </w:pPr>
    </w:lvl>
  </w:abstractNum>
  <w:abstractNum w:abstractNumId="9">
    <w:nsid w:val="0000040B"/>
    <w:multiLevelType w:val="multilevel"/>
    <w:tmpl w:val="0000088E"/>
    <w:lvl w:ilvl="0">
      <w:numFmt w:val="bullet"/>
      <w:lvlText w:val="-"/>
      <w:lvlJc w:val="left"/>
      <w:pPr>
        <w:ind w:left="823" w:hanging="361"/>
      </w:pPr>
      <w:rPr>
        <w:rFonts w:ascii="Arial" w:hAnsi="Arial" w:cs="Symbol"/>
        <w:b w:val="0"/>
        <w:bCs w:val="0"/>
        <w:w w:val="99"/>
        <w:sz w:val="16"/>
        <w:szCs w:val="16"/>
      </w:rPr>
    </w:lvl>
    <w:lvl w:ilvl="1">
      <w:numFmt w:val="bullet"/>
      <w:lvlText w:val="•"/>
      <w:lvlJc w:val="left"/>
      <w:pPr>
        <w:ind w:left="1037" w:hanging="361"/>
      </w:pPr>
    </w:lvl>
    <w:lvl w:ilvl="2">
      <w:numFmt w:val="bullet"/>
      <w:lvlText w:val="•"/>
      <w:lvlJc w:val="left"/>
      <w:pPr>
        <w:ind w:left="1254" w:hanging="361"/>
      </w:pPr>
    </w:lvl>
    <w:lvl w:ilvl="3">
      <w:numFmt w:val="bullet"/>
      <w:lvlText w:val="•"/>
      <w:lvlJc w:val="left"/>
      <w:pPr>
        <w:ind w:left="1471" w:hanging="361"/>
      </w:pPr>
    </w:lvl>
    <w:lvl w:ilvl="4">
      <w:numFmt w:val="bullet"/>
      <w:lvlText w:val="•"/>
      <w:lvlJc w:val="left"/>
      <w:pPr>
        <w:ind w:left="1688" w:hanging="361"/>
      </w:pPr>
    </w:lvl>
    <w:lvl w:ilvl="5">
      <w:numFmt w:val="bullet"/>
      <w:lvlText w:val="•"/>
      <w:lvlJc w:val="left"/>
      <w:pPr>
        <w:ind w:left="1905" w:hanging="361"/>
      </w:pPr>
    </w:lvl>
    <w:lvl w:ilvl="6">
      <w:numFmt w:val="bullet"/>
      <w:lvlText w:val="•"/>
      <w:lvlJc w:val="left"/>
      <w:pPr>
        <w:ind w:left="2122" w:hanging="361"/>
      </w:pPr>
    </w:lvl>
    <w:lvl w:ilvl="7">
      <w:numFmt w:val="bullet"/>
      <w:lvlText w:val="•"/>
      <w:lvlJc w:val="left"/>
      <w:pPr>
        <w:ind w:left="2339" w:hanging="361"/>
      </w:pPr>
    </w:lvl>
    <w:lvl w:ilvl="8">
      <w:numFmt w:val="bullet"/>
      <w:lvlText w:val="•"/>
      <w:lvlJc w:val="left"/>
      <w:pPr>
        <w:ind w:left="2556" w:hanging="361"/>
      </w:pPr>
    </w:lvl>
  </w:abstractNum>
  <w:abstractNum w:abstractNumId="10">
    <w:nsid w:val="0000040C"/>
    <w:multiLevelType w:val="multilevel"/>
    <w:tmpl w:val="0000088F"/>
    <w:lvl w:ilvl="0">
      <w:numFmt w:val="bullet"/>
      <w:lvlText w:val=""/>
      <w:lvlJc w:val="left"/>
      <w:pPr>
        <w:ind w:left="373" w:hanging="319"/>
      </w:pPr>
      <w:rPr>
        <w:rFonts w:ascii="Symbol" w:hAnsi="Symbol" w:cs="Courier New"/>
        <w:b w:val="0"/>
        <w:bCs w:val="0"/>
        <w:w w:val="99"/>
        <w:sz w:val="16"/>
        <w:szCs w:val="16"/>
      </w:rPr>
    </w:lvl>
    <w:lvl w:ilvl="1">
      <w:numFmt w:val="bullet"/>
      <w:lvlText w:val="•"/>
      <w:lvlJc w:val="left"/>
      <w:pPr>
        <w:ind w:left="641" w:hanging="319"/>
      </w:pPr>
    </w:lvl>
    <w:lvl w:ilvl="2">
      <w:numFmt w:val="bullet"/>
      <w:lvlText w:val="•"/>
      <w:lvlJc w:val="left"/>
      <w:pPr>
        <w:ind w:left="902" w:hanging="319"/>
      </w:pPr>
    </w:lvl>
    <w:lvl w:ilvl="3">
      <w:numFmt w:val="bullet"/>
      <w:lvlText w:val="•"/>
      <w:lvlJc w:val="left"/>
      <w:pPr>
        <w:ind w:left="1163" w:hanging="319"/>
      </w:pPr>
    </w:lvl>
    <w:lvl w:ilvl="4">
      <w:numFmt w:val="bullet"/>
      <w:lvlText w:val="•"/>
      <w:lvlJc w:val="left"/>
      <w:pPr>
        <w:ind w:left="1424" w:hanging="319"/>
      </w:pPr>
    </w:lvl>
    <w:lvl w:ilvl="5">
      <w:numFmt w:val="bullet"/>
      <w:lvlText w:val="•"/>
      <w:lvlJc w:val="left"/>
      <w:pPr>
        <w:ind w:left="1685" w:hanging="319"/>
      </w:pPr>
    </w:lvl>
    <w:lvl w:ilvl="6">
      <w:numFmt w:val="bullet"/>
      <w:lvlText w:val="•"/>
      <w:lvlJc w:val="left"/>
      <w:pPr>
        <w:ind w:left="1946" w:hanging="319"/>
      </w:pPr>
    </w:lvl>
    <w:lvl w:ilvl="7">
      <w:numFmt w:val="bullet"/>
      <w:lvlText w:val="•"/>
      <w:lvlJc w:val="left"/>
      <w:pPr>
        <w:ind w:left="2207" w:hanging="319"/>
      </w:pPr>
    </w:lvl>
    <w:lvl w:ilvl="8">
      <w:numFmt w:val="bullet"/>
      <w:lvlText w:val="•"/>
      <w:lvlJc w:val="left"/>
      <w:pPr>
        <w:ind w:left="2468" w:hanging="319"/>
      </w:pPr>
    </w:lvl>
  </w:abstractNum>
  <w:abstractNum w:abstractNumId="11">
    <w:nsid w:val="0000040D"/>
    <w:multiLevelType w:val="multilevel"/>
    <w:tmpl w:val="00000890"/>
    <w:lvl w:ilvl="0">
      <w:numFmt w:val="bullet"/>
      <w:lvlText w:val=""/>
      <w:lvlJc w:val="left"/>
      <w:pPr>
        <w:ind w:left="463" w:hanging="361"/>
      </w:pPr>
      <w:rPr>
        <w:rFonts w:ascii="Symbol" w:hAnsi="Symbol" w:cs="Courier New"/>
        <w:b w:val="0"/>
        <w:bCs w:val="0"/>
        <w:w w:val="99"/>
        <w:sz w:val="16"/>
        <w:szCs w:val="16"/>
      </w:rPr>
    </w:lvl>
    <w:lvl w:ilvl="1">
      <w:numFmt w:val="bullet"/>
      <w:lvlText w:val="•"/>
      <w:lvlJc w:val="left"/>
      <w:pPr>
        <w:ind w:left="713" w:hanging="361"/>
      </w:pPr>
    </w:lvl>
    <w:lvl w:ilvl="2">
      <w:numFmt w:val="bullet"/>
      <w:lvlText w:val="•"/>
      <w:lvlJc w:val="left"/>
      <w:pPr>
        <w:ind w:left="966" w:hanging="361"/>
      </w:pPr>
    </w:lvl>
    <w:lvl w:ilvl="3">
      <w:numFmt w:val="bullet"/>
      <w:lvlText w:val="•"/>
      <w:lvlJc w:val="left"/>
      <w:pPr>
        <w:ind w:left="1219" w:hanging="361"/>
      </w:pPr>
    </w:lvl>
    <w:lvl w:ilvl="4">
      <w:numFmt w:val="bullet"/>
      <w:lvlText w:val="•"/>
      <w:lvlJc w:val="left"/>
      <w:pPr>
        <w:ind w:left="1472" w:hanging="361"/>
      </w:pPr>
    </w:lvl>
    <w:lvl w:ilvl="5">
      <w:numFmt w:val="bullet"/>
      <w:lvlText w:val="•"/>
      <w:lvlJc w:val="left"/>
      <w:pPr>
        <w:ind w:left="1725" w:hanging="361"/>
      </w:pPr>
    </w:lvl>
    <w:lvl w:ilvl="6">
      <w:numFmt w:val="bullet"/>
      <w:lvlText w:val="•"/>
      <w:lvlJc w:val="left"/>
      <w:pPr>
        <w:ind w:left="1978" w:hanging="361"/>
      </w:pPr>
    </w:lvl>
    <w:lvl w:ilvl="7">
      <w:numFmt w:val="bullet"/>
      <w:lvlText w:val="•"/>
      <w:lvlJc w:val="left"/>
      <w:pPr>
        <w:ind w:left="2231" w:hanging="361"/>
      </w:pPr>
    </w:lvl>
    <w:lvl w:ilvl="8">
      <w:numFmt w:val="bullet"/>
      <w:lvlText w:val="•"/>
      <w:lvlJc w:val="left"/>
      <w:pPr>
        <w:ind w:left="2484" w:hanging="361"/>
      </w:pPr>
    </w:lvl>
  </w:abstractNum>
  <w:abstractNum w:abstractNumId="12">
    <w:nsid w:val="0000040E"/>
    <w:multiLevelType w:val="multilevel"/>
    <w:tmpl w:val="00000891"/>
    <w:lvl w:ilvl="0">
      <w:start w:val="1"/>
      <w:numFmt w:val="decimal"/>
      <w:lvlText w:val="%1."/>
      <w:lvlJc w:val="left"/>
      <w:pPr>
        <w:ind w:left="634" w:hanging="535"/>
      </w:pPr>
      <w:rPr>
        <w:rFonts w:ascii="Arial" w:hAnsi="Arial" w:cs="Symbol"/>
        <w:b/>
        <w:bCs/>
        <w:w w:val="100"/>
        <w:sz w:val="24"/>
        <w:szCs w:val="24"/>
      </w:rPr>
    </w:lvl>
    <w:lvl w:ilvl="1">
      <w:start w:val="1"/>
      <w:numFmt w:val="decimal"/>
      <w:lvlText w:val="%2."/>
      <w:lvlJc w:val="left"/>
      <w:pPr>
        <w:ind w:left="4196" w:hanging="268"/>
      </w:pPr>
      <w:rPr>
        <w:spacing w:val="-1"/>
        <w:u w:val="thick"/>
      </w:rPr>
    </w:lvl>
    <w:lvl w:ilvl="2">
      <w:numFmt w:val="bullet"/>
      <w:lvlText w:val="•"/>
      <w:lvlJc w:val="left"/>
      <w:pPr>
        <w:ind w:left="4200" w:hanging="268"/>
      </w:pPr>
    </w:lvl>
    <w:lvl w:ilvl="3">
      <w:numFmt w:val="bullet"/>
      <w:lvlText w:val="•"/>
      <w:lvlJc w:val="left"/>
      <w:pPr>
        <w:ind w:left="4875" w:hanging="268"/>
      </w:pPr>
    </w:lvl>
    <w:lvl w:ilvl="4">
      <w:numFmt w:val="bullet"/>
      <w:lvlText w:val="•"/>
      <w:lvlJc w:val="left"/>
      <w:pPr>
        <w:ind w:left="5550" w:hanging="268"/>
      </w:pPr>
    </w:lvl>
    <w:lvl w:ilvl="5">
      <w:numFmt w:val="bullet"/>
      <w:lvlText w:val="•"/>
      <w:lvlJc w:val="left"/>
      <w:pPr>
        <w:ind w:left="6225" w:hanging="268"/>
      </w:pPr>
    </w:lvl>
    <w:lvl w:ilvl="6">
      <w:numFmt w:val="bullet"/>
      <w:lvlText w:val="•"/>
      <w:lvlJc w:val="left"/>
      <w:pPr>
        <w:ind w:left="6900" w:hanging="268"/>
      </w:pPr>
    </w:lvl>
    <w:lvl w:ilvl="7">
      <w:numFmt w:val="bullet"/>
      <w:lvlText w:val="•"/>
      <w:lvlJc w:val="left"/>
      <w:pPr>
        <w:ind w:left="7575" w:hanging="268"/>
      </w:pPr>
    </w:lvl>
    <w:lvl w:ilvl="8">
      <w:numFmt w:val="bullet"/>
      <w:lvlText w:val="•"/>
      <w:lvlJc w:val="left"/>
      <w:pPr>
        <w:ind w:left="8250" w:hanging="268"/>
      </w:pPr>
    </w:lvl>
  </w:abstractNum>
  <w:abstractNum w:abstractNumId="13">
    <w:nsid w:val="00AB4623"/>
    <w:multiLevelType w:val="multilevel"/>
    <w:tmpl w:val="D11C99D6"/>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nsid w:val="0EA6395A"/>
    <w:multiLevelType w:val="hybridMultilevel"/>
    <w:tmpl w:val="7A9E69A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nsid w:val="1223735A"/>
    <w:multiLevelType w:val="multilevel"/>
    <w:tmpl w:val="3E48D288"/>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nsid w:val="14761D42"/>
    <w:multiLevelType w:val="hybridMultilevel"/>
    <w:tmpl w:val="A2C6E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0E0BB3"/>
    <w:multiLevelType w:val="hybridMultilevel"/>
    <w:tmpl w:val="C738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BD31868"/>
    <w:multiLevelType w:val="hybridMultilevel"/>
    <w:tmpl w:val="E162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3603F5"/>
    <w:multiLevelType w:val="hybridMultilevel"/>
    <w:tmpl w:val="1EA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D510FC"/>
    <w:multiLevelType w:val="hybridMultilevel"/>
    <w:tmpl w:val="91201020"/>
    <w:lvl w:ilvl="0" w:tplc="9A6496BE">
      <w:start w:val="7"/>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nsid w:val="26DA34D5"/>
    <w:multiLevelType w:val="hybridMultilevel"/>
    <w:tmpl w:val="E6E4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6869E9"/>
    <w:multiLevelType w:val="hybridMultilevel"/>
    <w:tmpl w:val="AAC6FF4C"/>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891143"/>
    <w:multiLevelType w:val="hybridMultilevel"/>
    <w:tmpl w:val="5BAA1586"/>
    <w:lvl w:ilvl="0" w:tplc="08090001">
      <w:start w:val="1"/>
      <w:numFmt w:val="bullet"/>
      <w:lvlText w:val=""/>
      <w:lvlJc w:val="left"/>
      <w:pPr>
        <w:ind w:left="1354" w:hanging="360"/>
      </w:pPr>
      <w:rPr>
        <w:rFonts w:ascii="Symbol" w:hAnsi="Symbol" w:hint="default"/>
      </w:rPr>
    </w:lvl>
    <w:lvl w:ilvl="1" w:tplc="08090003" w:tentative="1">
      <w:start w:val="1"/>
      <w:numFmt w:val="bullet"/>
      <w:lvlText w:val="o"/>
      <w:lvlJc w:val="left"/>
      <w:pPr>
        <w:ind w:left="2074" w:hanging="360"/>
      </w:pPr>
      <w:rPr>
        <w:rFonts w:ascii="Courier New" w:hAnsi="Courier New" w:cs="Arial"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Arial"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Arial" w:hint="default"/>
      </w:rPr>
    </w:lvl>
    <w:lvl w:ilvl="8" w:tplc="08090005" w:tentative="1">
      <w:start w:val="1"/>
      <w:numFmt w:val="bullet"/>
      <w:lvlText w:val=""/>
      <w:lvlJc w:val="left"/>
      <w:pPr>
        <w:ind w:left="7114" w:hanging="360"/>
      </w:pPr>
      <w:rPr>
        <w:rFonts w:ascii="Wingdings" w:hAnsi="Wingdings" w:hint="default"/>
      </w:rPr>
    </w:lvl>
  </w:abstractNum>
  <w:abstractNum w:abstractNumId="24">
    <w:nsid w:val="3A911BA5"/>
    <w:multiLevelType w:val="multilevel"/>
    <w:tmpl w:val="739E1802"/>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nsid w:val="46155F9D"/>
    <w:multiLevelType w:val="hybridMultilevel"/>
    <w:tmpl w:val="8B9C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A147D0"/>
    <w:multiLevelType w:val="hybridMultilevel"/>
    <w:tmpl w:val="3EE40F8A"/>
    <w:lvl w:ilvl="0" w:tplc="D5CA4B5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nsid w:val="49F4630A"/>
    <w:multiLevelType w:val="hybridMultilevel"/>
    <w:tmpl w:val="8026A50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nsid w:val="4EDF7C44"/>
    <w:multiLevelType w:val="hybridMultilevel"/>
    <w:tmpl w:val="B40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2B065A"/>
    <w:multiLevelType w:val="hybridMultilevel"/>
    <w:tmpl w:val="A7AAA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8742BD"/>
    <w:multiLevelType w:val="hybridMultilevel"/>
    <w:tmpl w:val="42484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6D459B"/>
    <w:multiLevelType w:val="hybridMultilevel"/>
    <w:tmpl w:val="0AFA6A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8"/>
  </w:num>
  <w:num w:numId="15">
    <w:abstractNumId w:val="23"/>
  </w:num>
  <w:num w:numId="16">
    <w:abstractNumId w:val="24"/>
  </w:num>
  <w:num w:numId="17">
    <w:abstractNumId w:val="15"/>
  </w:num>
  <w:num w:numId="18">
    <w:abstractNumId w:val="13"/>
  </w:num>
  <w:num w:numId="19">
    <w:abstractNumId w:val="27"/>
  </w:num>
  <w:num w:numId="20">
    <w:abstractNumId w:val="20"/>
  </w:num>
  <w:num w:numId="21">
    <w:abstractNumId w:val="26"/>
  </w:num>
  <w:num w:numId="22">
    <w:abstractNumId w:val="16"/>
  </w:num>
  <w:num w:numId="23">
    <w:abstractNumId w:val="30"/>
  </w:num>
  <w:num w:numId="24">
    <w:abstractNumId w:val="18"/>
  </w:num>
  <w:num w:numId="25">
    <w:abstractNumId w:val="19"/>
  </w:num>
  <w:num w:numId="26">
    <w:abstractNumId w:val="29"/>
  </w:num>
  <w:num w:numId="27">
    <w:abstractNumId w:val="17"/>
  </w:num>
  <w:num w:numId="28">
    <w:abstractNumId w:val="22"/>
  </w:num>
  <w:num w:numId="29">
    <w:abstractNumId w:val="31"/>
  </w:num>
  <w:num w:numId="30">
    <w:abstractNumId w:val="14"/>
  </w:num>
  <w:num w:numId="31">
    <w:abstractNumId w:val="2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32"/>
    <w:rsid w:val="00031F85"/>
    <w:rsid w:val="00051388"/>
    <w:rsid w:val="00052B93"/>
    <w:rsid w:val="000A3A89"/>
    <w:rsid w:val="000A505A"/>
    <w:rsid w:val="000A6C7C"/>
    <w:rsid w:val="000B0F01"/>
    <w:rsid w:val="000C2E20"/>
    <w:rsid w:val="000F0966"/>
    <w:rsid w:val="001770F8"/>
    <w:rsid w:val="00196DD0"/>
    <w:rsid w:val="001C49BB"/>
    <w:rsid w:val="00200884"/>
    <w:rsid w:val="002047ED"/>
    <w:rsid w:val="0022350C"/>
    <w:rsid w:val="002804BD"/>
    <w:rsid w:val="002934A0"/>
    <w:rsid w:val="002A1369"/>
    <w:rsid w:val="002B791A"/>
    <w:rsid w:val="002C1988"/>
    <w:rsid w:val="002D16C0"/>
    <w:rsid w:val="00317E89"/>
    <w:rsid w:val="00330144"/>
    <w:rsid w:val="00362EC3"/>
    <w:rsid w:val="00374469"/>
    <w:rsid w:val="00397937"/>
    <w:rsid w:val="00412226"/>
    <w:rsid w:val="00412561"/>
    <w:rsid w:val="00423D50"/>
    <w:rsid w:val="004661A7"/>
    <w:rsid w:val="00467B29"/>
    <w:rsid w:val="00516E42"/>
    <w:rsid w:val="005771F3"/>
    <w:rsid w:val="00587067"/>
    <w:rsid w:val="00593602"/>
    <w:rsid w:val="005B2407"/>
    <w:rsid w:val="00676827"/>
    <w:rsid w:val="006A4F51"/>
    <w:rsid w:val="006C67FC"/>
    <w:rsid w:val="006C692A"/>
    <w:rsid w:val="006D754A"/>
    <w:rsid w:val="007115F0"/>
    <w:rsid w:val="00723894"/>
    <w:rsid w:val="00746254"/>
    <w:rsid w:val="00792FC3"/>
    <w:rsid w:val="007C4CC5"/>
    <w:rsid w:val="007D2FA5"/>
    <w:rsid w:val="007F0B08"/>
    <w:rsid w:val="008004AB"/>
    <w:rsid w:val="00802AE5"/>
    <w:rsid w:val="0080552C"/>
    <w:rsid w:val="00805F3B"/>
    <w:rsid w:val="00846166"/>
    <w:rsid w:val="00863399"/>
    <w:rsid w:val="008663ED"/>
    <w:rsid w:val="0087797F"/>
    <w:rsid w:val="008F22EA"/>
    <w:rsid w:val="008F3FAA"/>
    <w:rsid w:val="008F4B2F"/>
    <w:rsid w:val="00937BAF"/>
    <w:rsid w:val="009564F4"/>
    <w:rsid w:val="00970D70"/>
    <w:rsid w:val="0098329C"/>
    <w:rsid w:val="009B025B"/>
    <w:rsid w:val="009B082C"/>
    <w:rsid w:val="009D3B0F"/>
    <w:rsid w:val="00A00023"/>
    <w:rsid w:val="00A02639"/>
    <w:rsid w:val="00A20521"/>
    <w:rsid w:val="00A35FA1"/>
    <w:rsid w:val="00A51AF7"/>
    <w:rsid w:val="00A5552F"/>
    <w:rsid w:val="00AF1BA7"/>
    <w:rsid w:val="00AF64D5"/>
    <w:rsid w:val="00B019A9"/>
    <w:rsid w:val="00B03451"/>
    <w:rsid w:val="00BC67FD"/>
    <w:rsid w:val="00C9178A"/>
    <w:rsid w:val="00C96A81"/>
    <w:rsid w:val="00CC5CE9"/>
    <w:rsid w:val="00CE1C71"/>
    <w:rsid w:val="00D74080"/>
    <w:rsid w:val="00D91C71"/>
    <w:rsid w:val="00DA1DCF"/>
    <w:rsid w:val="00E11A9C"/>
    <w:rsid w:val="00E327DD"/>
    <w:rsid w:val="00E72B69"/>
    <w:rsid w:val="00EB0E4B"/>
    <w:rsid w:val="00ED74C8"/>
    <w:rsid w:val="00F01986"/>
    <w:rsid w:val="00F15F99"/>
    <w:rsid w:val="00F22E20"/>
    <w:rsid w:val="00F236DF"/>
    <w:rsid w:val="00F33070"/>
    <w:rsid w:val="00F53907"/>
    <w:rsid w:val="00FC59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uiPriority w:val="1"/>
    <w:qFormat/>
    <w:rsid w:val="00FC593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FC5932"/>
    <w:pPr>
      <w:ind w:left="100"/>
      <w:outlineLvl w:val="0"/>
    </w:pPr>
    <w:rPr>
      <w:rFonts w:ascii="Arial" w:hAnsi="Arial" w:cs="Arial"/>
      <w:b/>
      <w:bCs/>
      <w:sz w:val="28"/>
      <w:szCs w:val="28"/>
      <w:u w:val="single"/>
    </w:rPr>
  </w:style>
  <w:style w:type="paragraph" w:styleId="Heading2">
    <w:name w:val="heading 2"/>
    <w:basedOn w:val="Normal"/>
    <w:next w:val="Normal"/>
    <w:link w:val="Heading2Char"/>
    <w:uiPriority w:val="1"/>
    <w:qFormat/>
    <w:rsid w:val="00FC5932"/>
    <w:pPr>
      <w:ind w:left="635" w:hanging="535"/>
      <w:outlineLvl w:val="1"/>
    </w:pPr>
    <w:rPr>
      <w:rFonts w:ascii="Arial" w:hAnsi="Arial" w:cs="Arial"/>
      <w:b/>
      <w:bCs/>
    </w:rPr>
  </w:style>
  <w:style w:type="paragraph" w:styleId="Heading3">
    <w:name w:val="heading 3"/>
    <w:basedOn w:val="Normal"/>
    <w:next w:val="Normal"/>
    <w:link w:val="Heading3Char"/>
    <w:uiPriority w:val="1"/>
    <w:qFormat/>
    <w:rsid w:val="00FC5932"/>
    <w:pPr>
      <w:ind w:left="10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5932"/>
    <w:rPr>
      <w:rFonts w:ascii="Arial" w:eastAsiaTheme="minorEastAsia" w:hAnsi="Arial" w:cs="Arial"/>
      <w:b/>
      <w:bCs/>
      <w:sz w:val="28"/>
      <w:szCs w:val="28"/>
      <w:u w:val="single"/>
      <w:lang w:eastAsia="en-GB"/>
    </w:rPr>
  </w:style>
  <w:style w:type="character" w:customStyle="1" w:styleId="Heading2Char">
    <w:name w:val="Heading 2 Char"/>
    <w:basedOn w:val="DefaultParagraphFont"/>
    <w:link w:val="Heading2"/>
    <w:uiPriority w:val="1"/>
    <w:rsid w:val="00FC5932"/>
    <w:rPr>
      <w:rFonts w:ascii="Arial" w:eastAsiaTheme="minorEastAsia" w:hAnsi="Arial" w:cs="Arial"/>
      <w:b/>
      <w:bCs/>
      <w:sz w:val="24"/>
      <w:szCs w:val="24"/>
      <w:lang w:eastAsia="en-GB"/>
    </w:rPr>
  </w:style>
  <w:style w:type="character" w:customStyle="1" w:styleId="Heading3Char">
    <w:name w:val="Heading 3 Char"/>
    <w:basedOn w:val="DefaultParagraphFont"/>
    <w:link w:val="Heading3"/>
    <w:uiPriority w:val="1"/>
    <w:rsid w:val="00FC5932"/>
    <w:rPr>
      <w:rFonts w:ascii="Arial" w:eastAsiaTheme="minorEastAsia" w:hAnsi="Arial" w:cs="Arial"/>
      <w:b/>
      <w:bCs/>
      <w:lang w:eastAsia="en-GB"/>
    </w:rPr>
  </w:style>
  <w:style w:type="paragraph" w:styleId="BodyText">
    <w:name w:val="Body Text"/>
    <w:basedOn w:val="Normal"/>
    <w:link w:val="BodyTextChar"/>
    <w:uiPriority w:val="1"/>
    <w:qFormat/>
    <w:rsid w:val="00FC5932"/>
    <w:pPr>
      <w:ind w:left="640"/>
    </w:pPr>
    <w:rPr>
      <w:rFonts w:ascii="Arial" w:hAnsi="Arial" w:cs="Arial"/>
      <w:sz w:val="22"/>
      <w:szCs w:val="22"/>
    </w:rPr>
  </w:style>
  <w:style w:type="character" w:customStyle="1" w:styleId="BodyTextChar">
    <w:name w:val="Body Text Char"/>
    <w:basedOn w:val="DefaultParagraphFont"/>
    <w:link w:val="BodyText"/>
    <w:uiPriority w:val="1"/>
    <w:rsid w:val="00FC5932"/>
    <w:rPr>
      <w:rFonts w:ascii="Arial" w:eastAsiaTheme="minorEastAsia" w:hAnsi="Arial" w:cs="Arial"/>
      <w:lang w:eastAsia="en-GB"/>
    </w:rPr>
  </w:style>
  <w:style w:type="paragraph" w:styleId="ListParagraph">
    <w:name w:val="List Paragraph"/>
    <w:basedOn w:val="Normal"/>
    <w:uiPriority w:val="34"/>
    <w:qFormat/>
    <w:rsid w:val="00FC5932"/>
  </w:style>
  <w:style w:type="paragraph" w:customStyle="1" w:styleId="TableParagraph">
    <w:name w:val="Table Paragraph"/>
    <w:basedOn w:val="Normal"/>
    <w:uiPriority w:val="1"/>
    <w:qFormat/>
    <w:rsid w:val="00FC5932"/>
  </w:style>
  <w:style w:type="paragraph" w:styleId="BalloonText">
    <w:name w:val="Balloon Text"/>
    <w:basedOn w:val="Normal"/>
    <w:link w:val="BalloonTextChar"/>
    <w:uiPriority w:val="99"/>
    <w:semiHidden/>
    <w:unhideWhenUsed/>
    <w:rsid w:val="00FC5932"/>
    <w:rPr>
      <w:rFonts w:ascii="Tahoma" w:hAnsi="Tahoma" w:cs="Tahoma"/>
      <w:sz w:val="16"/>
      <w:szCs w:val="16"/>
    </w:rPr>
  </w:style>
  <w:style w:type="character" w:customStyle="1" w:styleId="BalloonTextChar">
    <w:name w:val="Balloon Text Char"/>
    <w:basedOn w:val="DefaultParagraphFont"/>
    <w:link w:val="BalloonText"/>
    <w:uiPriority w:val="99"/>
    <w:semiHidden/>
    <w:rsid w:val="00FC5932"/>
    <w:rPr>
      <w:rFonts w:ascii="Tahoma" w:eastAsiaTheme="minorEastAsia" w:hAnsi="Tahoma" w:cs="Tahoma"/>
      <w:sz w:val="16"/>
      <w:szCs w:val="16"/>
      <w:lang w:eastAsia="en-GB"/>
    </w:rPr>
  </w:style>
  <w:style w:type="paragraph" w:styleId="Header">
    <w:name w:val="header"/>
    <w:basedOn w:val="Normal"/>
    <w:link w:val="HeaderChar"/>
    <w:uiPriority w:val="99"/>
    <w:unhideWhenUsed/>
    <w:rsid w:val="00FC5932"/>
    <w:pPr>
      <w:tabs>
        <w:tab w:val="center" w:pos="4513"/>
        <w:tab w:val="right" w:pos="9026"/>
      </w:tabs>
    </w:pPr>
  </w:style>
  <w:style w:type="character" w:customStyle="1" w:styleId="HeaderChar">
    <w:name w:val="Header Char"/>
    <w:basedOn w:val="DefaultParagraphFont"/>
    <w:link w:val="Header"/>
    <w:uiPriority w:val="99"/>
    <w:rsid w:val="00FC5932"/>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FC5932"/>
    <w:pPr>
      <w:tabs>
        <w:tab w:val="center" w:pos="4513"/>
        <w:tab w:val="right" w:pos="9026"/>
      </w:tabs>
    </w:pPr>
  </w:style>
  <w:style w:type="character" w:customStyle="1" w:styleId="FooterChar">
    <w:name w:val="Footer Char"/>
    <w:basedOn w:val="DefaultParagraphFont"/>
    <w:link w:val="Footer"/>
    <w:uiPriority w:val="99"/>
    <w:rsid w:val="00FC5932"/>
    <w:rPr>
      <w:rFonts w:ascii="Times New Roman" w:eastAsiaTheme="minorEastAsia" w:hAnsi="Times New Roman" w:cs="Times New Roman"/>
      <w:sz w:val="24"/>
      <w:szCs w:val="24"/>
      <w:lang w:eastAsia="en-GB"/>
    </w:rPr>
  </w:style>
  <w:style w:type="table" w:styleId="TableGrid">
    <w:name w:val="Table Grid"/>
    <w:basedOn w:val="TableNormal"/>
    <w:uiPriority w:val="59"/>
    <w:rsid w:val="0074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D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3D50"/>
    <w:rPr>
      <w:color w:val="0000FF" w:themeColor="hyperlink"/>
      <w:u w:val="single"/>
    </w:rPr>
  </w:style>
  <w:style w:type="paragraph" w:customStyle="1" w:styleId="p">
    <w:name w:val="p"/>
    <w:basedOn w:val="Normal"/>
    <w:rsid w:val="005B2407"/>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5B2407"/>
    <w:rPr>
      <w:b/>
      <w:bCs/>
    </w:rPr>
  </w:style>
  <w:style w:type="character" w:customStyle="1" w:styleId="kwd-text">
    <w:name w:val="kwd-text"/>
    <w:basedOn w:val="DefaultParagraphFont"/>
    <w:rsid w:val="005B2407"/>
  </w:style>
  <w:style w:type="character" w:styleId="FollowedHyperlink">
    <w:name w:val="FollowedHyperlink"/>
    <w:basedOn w:val="DefaultParagraphFont"/>
    <w:rsid w:val="00802A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uiPriority w:val="1"/>
    <w:qFormat/>
    <w:rsid w:val="00FC593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FC5932"/>
    <w:pPr>
      <w:ind w:left="100"/>
      <w:outlineLvl w:val="0"/>
    </w:pPr>
    <w:rPr>
      <w:rFonts w:ascii="Arial" w:hAnsi="Arial" w:cs="Arial"/>
      <w:b/>
      <w:bCs/>
      <w:sz w:val="28"/>
      <w:szCs w:val="28"/>
      <w:u w:val="single"/>
    </w:rPr>
  </w:style>
  <w:style w:type="paragraph" w:styleId="Heading2">
    <w:name w:val="heading 2"/>
    <w:basedOn w:val="Normal"/>
    <w:next w:val="Normal"/>
    <w:link w:val="Heading2Char"/>
    <w:uiPriority w:val="1"/>
    <w:qFormat/>
    <w:rsid w:val="00FC5932"/>
    <w:pPr>
      <w:ind w:left="635" w:hanging="535"/>
      <w:outlineLvl w:val="1"/>
    </w:pPr>
    <w:rPr>
      <w:rFonts w:ascii="Arial" w:hAnsi="Arial" w:cs="Arial"/>
      <w:b/>
      <w:bCs/>
    </w:rPr>
  </w:style>
  <w:style w:type="paragraph" w:styleId="Heading3">
    <w:name w:val="heading 3"/>
    <w:basedOn w:val="Normal"/>
    <w:next w:val="Normal"/>
    <w:link w:val="Heading3Char"/>
    <w:uiPriority w:val="1"/>
    <w:qFormat/>
    <w:rsid w:val="00FC5932"/>
    <w:pPr>
      <w:ind w:left="10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5932"/>
    <w:rPr>
      <w:rFonts w:ascii="Arial" w:eastAsiaTheme="minorEastAsia" w:hAnsi="Arial" w:cs="Arial"/>
      <w:b/>
      <w:bCs/>
      <w:sz w:val="28"/>
      <w:szCs w:val="28"/>
      <w:u w:val="single"/>
      <w:lang w:eastAsia="en-GB"/>
    </w:rPr>
  </w:style>
  <w:style w:type="character" w:customStyle="1" w:styleId="Heading2Char">
    <w:name w:val="Heading 2 Char"/>
    <w:basedOn w:val="DefaultParagraphFont"/>
    <w:link w:val="Heading2"/>
    <w:uiPriority w:val="1"/>
    <w:rsid w:val="00FC5932"/>
    <w:rPr>
      <w:rFonts w:ascii="Arial" w:eastAsiaTheme="minorEastAsia" w:hAnsi="Arial" w:cs="Arial"/>
      <w:b/>
      <w:bCs/>
      <w:sz w:val="24"/>
      <w:szCs w:val="24"/>
      <w:lang w:eastAsia="en-GB"/>
    </w:rPr>
  </w:style>
  <w:style w:type="character" w:customStyle="1" w:styleId="Heading3Char">
    <w:name w:val="Heading 3 Char"/>
    <w:basedOn w:val="DefaultParagraphFont"/>
    <w:link w:val="Heading3"/>
    <w:uiPriority w:val="1"/>
    <w:rsid w:val="00FC5932"/>
    <w:rPr>
      <w:rFonts w:ascii="Arial" w:eastAsiaTheme="minorEastAsia" w:hAnsi="Arial" w:cs="Arial"/>
      <w:b/>
      <w:bCs/>
      <w:lang w:eastAsia="en-GB"/>
    </w:rPr>
  </w:style>
  <w:style w:type="paragraph" w:styleId="BodyText">
    <w:name w:val="Body Text"/>
    <w:basedOn w:val="Normal"/>
    <w:link w:val="BodyTextChar"/>
    <w:uiPriority w:val="1"/>
    <w:qFormat/>
    <w:rsid w:val="00FC5932"/>
    <w:pPr>
      <w:ind w:left="640"/>
    </w:pPr>
    <w:rPr>
      <w:rFonts w:ascii="Arial" w:hAnsi="Arial" w:cs="Arial"/>
      <w:sz w:val="22"/>
      <w:szCs w:val="22"/>
    </w:rPr>
  </w:style>
  <w:style w:type="character" w:customStyle="1" w:styleId="BodyTextChar">
    <w:name w:val="Body Text Char"/>
    <w:basedOn w:val="DefaultParagraphFont"/>
    <w:link w:val="BodyText"/>
    <w:uiPriority w:val="1"/>
    <w:rsid w:val="00FC5932"/>
    <w:rPr>
      <w:rFonts w:ascii="Arial" w:eastAsiaTheme="minorEastAsia" w:hAnsi="Arial" w:cs="Arial"/>
      <w:lang w:eastAsia="en-GB"/>
    </w:rPr>
  </w:style>
  <w:style w:type="paragraph" w:styleId="ListParagraph">
    <w:name w:val="List Paragraph"/>
    <w:basedOn w:val="Normal"/>
    <w:uiPriority w:val="34"/>
    <w:qFormat/>
    <w:rsid w:val="00FC5932"/>
  </w:style>
  <w:style w:type="paragraph" w:customStyle="1" w:styleId="TableParagraph">
    <w:name w:val="Table Paragraph"/>
    <w:basedOn w:val="Normal"/>
    <w:uiPriority w:val="1"/>
    <w:qFormat/>
    <w:rsid w:val="00FC5932"/>
  </w:style>
  <w:style w:type="paragraph" w:styleId="BalloonText">
    <w:name w:val="Balloon Text"/>
    <w:basedOn w:val="Normal"/>
    <w:link w:val="BalloonTextChar"/>
    <w:uiPriority w:val="99"/>
    <w:semiHidden/>
    <w:unhideWhenUsed/>
    <w:rsid w:val="00FC5932"/>
    <w:rPr>
      <w:rFonts w:ascii="Tahoma" w:hAnsi="Tahoma" w:cs="Tahoma"/>
      <w:sz w:val="16"/>
      <w:szCs w:val="16"/>
    </w:rPr>
  </w:style>
  <w:style w:type="character" w:customStyle="1" w:styleId="BalloonTextChar">
    <w:name w:val="Balloon Text Char"/>
    <w:basedOn w:val="DefaultParagraphFont"/>
    <w:link w:val="BalloonText"/>
    <w:uiPriority w:val="99"/>
    <w:semiHidden/>
    <w:rsid w:val="00FC5932"/>
    <w:rPr>
      <w:rFonts w:ascii="Tahoma" w:eastAsiaTheme="minorEastAsia" w:hAnsi="Tahoma" w:cs="Tahoma"/>
      <w:sz w:val="16"/>
      <w:szCs w:val="16"/>
      <w:lang w:eastAsia="en-GB"/>
    </w:rPr>
  </w:style>
  <w:style w:type="paragraph" w:styleId="Header">
    <w:name w:val="header"/>
    <w:basedOn w:val="Normal"/>
    <w:link w:val="HeaderChar"/>
    <w:uiPriority w:val="99"/>
    <w:unhideWhenUsed/>
    <w:rsid w:val="00FC5932"/>
    <w:pPr>
      <w:tabs>
        <w:tab w:val="center" w:pos="4513"/>
        <w:tab w:val="right" w:pos="9026"/>
      </w:tabs>
    </w:pPr>
  </w:style>
  <w:style w:type="character" w:customStyle="1" w:styleId="HeaderChar">
    <w:name w:val="Header Char"/>
    <w:basedOn w:val="DefaultParagraphFont"/>
    <w:link w:val="Header"/>
    <w:uiPriority w:val="99"/>
    <w:rsid w:val="00FC5932"/>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FC5932"/>
    <w:pPr>
      <w:tabs>
        <w:tab w:val="center" w:pos="4513"/>
        <w:tab w:val="right" w:pos="9026"/>
      </w:tabs>
    </w:pPr>
  </w:style>
  <w:style w:type="character" w:customStyle="1" w:styleId="FooterChar">
    <w:name w:val="Footer Char"/>
    <w:basedOn w:val="DefaultParagraphFont"/>
    <w:link w:val="Footer"/>
    <w:uiPriority w:val="99"/>
    <w:rsid w:val="00FC5932"/>
    <w:rPr>
      <w:rFonts w:ascii="Times New Roman" w:eastAsiaTheme="minorEastAsia" w:hAnsi="Times New Roman" w:cs="Times New Roman"/>
      <w:sz w:val="24"/>
      <w:szCs w:val="24"/>
      <w:lang w:eastAsia="en-GB"/>
    </w:rPr>
  </w:style>
  <w:style w:type="table" w:styleId="TableGrid">
    <w:name w:val="Table Grid"/>
    <w:basedOn w:val="TableNormal"/>
    <w:uiPriority w:val="59"/>
    <w:rsid w:val="0074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D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3D50"/>
    <w:rPr>
      <w:color w:val="0000FF" w:themeColor="hyperlink"/>
      <w:u w:val="single"/>
    </w:rPr>
  </w:style>
  <w:style w:type="paragraph" w:customStyle="1" w:styleId="p">
    <w:name w:val="p"/>
    <w:basedOn w:val="Normal"/>
    <w:rsid w:val="005B2407"/>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5B2407"/>
    <w:rPr>
      <w:b/>
      <w:bCs/>
    </w:rPr>
  </w:style>
  <w:style w:type="character" w:customStyle="1" w:styleId="kwd-text">
    <w:name w:val="kwd-text"/>
    <w:basedOn w:val="DefaultParagraphFont"/>
    <w:rsid w:val="005B2407"/>
  </w:style>
  <w:style w:type="character" w:styleId="FollowedHyperlink">
    <w:name w:val="FollowedHyperlink"/>
    <w:basedOn w:val="DefaultParagraphFont"/>
    <w:rsid w:val="00802A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52452">
      <w:bodyDiv w:val="1"/>
      <w:marLeft w:val="0"/>
      <w:marRight w:val="0"/>
      <w:marTop w:val="0"/>
      <w:marBottom w:val="0"/>
      <w:divBdr>
        <w:top w:val="none" w:sz="0" w:space="0" w:color="auto"/>
        <w:left w:val="none" w:sz="0" w:space="0" w:color="auto"/>
        <w:bottom w:val="none" w:sz="0" w:space="0" w:color="auto"/>
        <w:right w:val="none" w:sz="0" w:space="0" w:color="auto"/>
      </w:divBdr>
    </w:div>
    <w:div w:id="1529217149">
      <w:bodyDiv w:val="1"/>
      <w:marLeft w:val="0"/>
      <w:marRight w:val="0"/>
      <w:marTop w:val="0"/>
      <w:marBottom w:val="0"/>
      <w:divBdr>
        <w:top w:val="none" w:sz="0" w:space="0" w:color="auto"/>
        <w:left w:val="none" w:sz="0" w:space="0" w:color="auto"/>
        <w:bottom w:val="none" w:sz="0" w:space="0" w:color="auto"/>
        <w:right w:val="none" w:sz="0" w:space="0" w:color="auto"/>
      </w:divBdr>
      <w:divsChild>
        <w:div w:id="1969117689">
          <w:marLeft w:val="0"/>
          <w:marRight w:val="0"/>
          <w:marTop w:val="0"/>
          <w:marBottom w:val="0"/>
          <w:divBdr>
            <w:top w:val="none" w:sz="0" w:space="0" w:color="auto"/>
            <w:left w:val="none" w:sz="0" w:space="0" w:color="auto"/>
            <w:bottom w:val="none" w:sz="0" w:space="0" w:color="auto"/>
            <w:right w:val="none" w:sz="0" w:space="0" w:color="auto"/>
          </w:divBdr>
          <w:divsChild>
            <w:div w:id="526143643">
              <w:marLeft w:val="0"/>
              <w:marRight w:val="0"/>
              <w:marTop w:val="0"/>
              <w:marBottom w:val="0"/>
              <w:divBdr>
                <w:top w:val="none" w:sz="0" w:space="0" w:color="auto"/>
                <w:left w:val="none" w:sz="0" w:space="0" w:color="auto"/>
                <w:bottom w:val="none" w:sz="0" w:space="0" w:color="auto"/>
                <w:right w:val="none" w:sz="0" w:space="0" w:color="auto"/>
              </w:divBdr>
              <w:divsChild>
                <w:div w:id="2065829566">
                  <w:marLeft w:val="0"/>
                  <w:marRight w:val="0"/>
                  <w:marTop w:val="0"/>
                  <w:marBottom w:val="0"/>
                  <w:divBdr>
                    <w:top w:val="none" w:sz="0" w:space="0" w:color="auto"/>
                    <w:left w:val="none" w:sz="0" w:space="0" w:color="auto"/>
                    <w:bottom w:val="none" w:sz="0" w:space="0" w:color="auto"/>
                    <w:right w:val="none" w:sz="0" w:space="0" w:color="auto"/>
                  </w:divBdr>
                  <w:divsChild>
                    <w:div w:id="621377114">
                      <w:marLeft w:val="0"/>
                      <w:marRight w:val="0"/>
                      <w:marTop w:val="0"/>
                      <w:marBottom w:val="0"/>
                      <w:divBdr>
                        <w:top w:val="none" w:sz="0" w:space="0" w:color="auto"/>
                        <w:left w:val="none" w:sz="0" w:space="0" w:color="auto"/>
                        <w:bottom w:val="none" w:sz="0" w:space="0" w:color="auto"/>
                        <w:right w:val="none" w:sz="0" w:space="0" w:color="auto"/>
                      </w:divBdr>
                      <w:divsChild>
                        <w:div w:id="656035987">
                          <w:marLeft w:val="0"/>
                          <w:marRight w:val="0"/>
                          <w:marTop w:val="0"/>
                          <w:marBottom w:val="0"/>
                          <w:divBdr>
                            <w:top w:val="none" w:sz="0" w:space="0" w:color="auto"/>
                            <w:left w:val="none" w:sz="0" w:space="0" w:color="auto"/>
                            <w:bottom w:val="none" w:sz="0" w:space="0" w:color="auto"/>
                            <w:right w:val="none" w:sz="0" w:space="0" w:color="auto"/>
                          </w:divBdr>
                          <w:divsChild>
                            <w:div w:id="2050572070">
                              <w:marLeft w:val="0"/>
                              <w:marRight w:val="0"/>
                              <w:marTop w:val="0"/>
                              <w:marBottom w:val="0"/>
                              <w:divBdr>
                                <w:top w:val="none" w:sz="0" w:space="0" w:color="auto"/>
                                <w:left w:val="none" w:sz="0" w:space="0" w:color="auto"/>
                                <w:bottom w:val="none" w:sz="0" w:space="0" w:color="auto"/>
                                <w:right w:val="none" w:sz="0" w:space="0" w:color="auto"/>
                              </w:divBdr>
                              <w:divsChild>
                                <w:div w:id="1121413988">
                                  <w:marLeft w:val="0"/>
                                  <w:marRight w:val="0"/>
                                  <w:marTop w:val="0"/>
                                  <w:marBottom w:val="0"/>
                                  <w:divBdr>
                                    <w:top w:val="none" w:sz="0" w:space="0" w:color="auto"/>
                                    <w:left w:val="none" w:sz="0" w:space="0" w:color="auto"/>
                                    <w:bottom w:val="none" w:sz="0" w:space="0" w:color="auto"/>
                                    <w:right w:val="none" w:sz="0" w:space="0" w:color="auto"/>
                                  </w:divBdr>
                                  <w:divsChild>
                                    <w:div w:id="2105300746">
                                      <w:marLeft w:val="0"/>
                                      <w:marRight w:val="0"/>
                                      <w:marTop w:val="0"/>
                                      <w:marBottom w:val="0"/>
                                      <w:divBdr>
                                        <w:top w:val="none" w:sz="0" w:space="0" w:color="auto"/>
                                        <w:left w:val="none" w:sz="0" w:space="0" w:color="auto"/>
                                        <w:bottom w:val="none" w:sz="0" w:space="0" w:color="auto"/>
                                        <w:right w:val="none" w:sz="0" w:space="0" w:color="auto"/>
                                      </w:divBdr>
                                      <w:divsChild>
                                        <w:div w:id="1837838546">
                                          <w:marLeft w:val="0"/>
                                          <w:marRight w:val="0"/>
                                          <w:marTop w:val="0"/>
                                          <w:marBottom w:val="0"/>
                                          <w:divBdr>
                                            <w:top w:val="none" w:sz="0" w:space="0" w:color="auto"/>
                                            <w:left w:val="none" w:sz="0" w:space="0" w:color="auto"/>
                                            <w:bottom w:val="none" w:sz="0" w:space="0" w:color="auto"/>
                                            <w:right w:val="none" w:sz="0" w:space="0" w:color="auto"/>
                                          </w:divBdr>
                                          <w:divsChild>
                                            <w:div w:id="613903480">
                                              <w:marLeft w:val="0"/>
                                              <w:marRight w:val="0"/>
                                              <w:marTop w:val="0"/>
                                              <w:marBottom w:val="0"/>
                                              <w:divBdr>
                                                <w:top w:val="none" w:sz="0" w:space="0" w:color="auto"/>
                                                <w:left w:val="none" w:sz="0" w:space="0" w:color="auto"/>
                                                <w:bottom w:val="none" w:sz="0" w:space="0" w:color="auto"/>
                                                <w:right w:val="none" w:sz="0" w:space="0" w:color="auto"/>
                                              </w:divBdr>
                                              <w:divsChild>
                                                <w:div w:id="810051243">
                                                  <w:marLeft w:val="0"/>
                                                  <w:marRight w:val="0"/>
                                                  <w:marTop w:val="0"/>
                                                  <w:marBottom w:val="0"/>
                                                  <w:divBdr>
                                                    <w:top w:val="none" w:sz="0" w:space="0" w:color="auto"/>
                                                    <w:left w:val="none" w:sz="0" w:space="0" w:color="auto"/>
                                                    <w:bottom w:val="none" w:sz="0" w:space="0" w:color="auto"/>
                                                    <w:right w:val="none" w:sz="0" w:space="0" w:color="auto"/>
                                                  </w:divBdr>
                                                  <w:divsChild>
                                                    <w:div w:id="788083435">
                                                      <w:marLeft w:val="0"/>
                                                      <w:marRight w:val="0"/>
                                                      <w:marTop w:val="0"/>
                                                      <w:marBottom w:val="0"/>
                                                      <w:divBdr>
                                                        <w:top w:val="none" w:sz="0" w:space="0" w:color="auto"/>
                                                        <w:left w:val="none" w:sz="0" w:space="0" w:color="auto"/>
                                                        <w:bottom w:val="none" w:sz="0" w:space="0" w:color="auto"/>
                                                        <w:right w:val="none" w:sz="0" w:space="0" w:color="auto"/>
                                                      </w:divBdr>
                                                    </w:div>
                                                    <w:div w:id="1794246611">
                                                      <w:marLeft w:val="0"/>
                                                      <w:marRight w:val="0"/>
                                                      <w:marTop w:val="0"/>
                                                      <w:marBottom w:val="0"/>
                                                      <w:divBdr>
                                                        <w:top w:val="none" w:sz="0" w:space="0" w:color="auto"/>
                                                        <w:left w:val="none" w:sz="0" w:space="0" w:color="auto"/>
                                                        <w:bottom w:val="none" w:sz="0" w:space="0" w:color="auto"/>
                                                        <w:right w:val="none" w:sz="0" w:space="0" w:color="auto"/>
                                                      </w:divBdr>
                                                    </w:div>
                                                  </w:divsChild>
                                                </w:div>
                                                <w:div w:id="1583762151">
                                                  <w:marLeft w:val="0"/>
                                                  <w:marRight w:val="0"/>
                                                  <w:marTop w:val="0"/>
                                                  <w:marBottom w:val="0"/>
                                                  <w:divBdr>
                                                    <w:top w:val="none" w:sz="0" w:space="0" w:color="auto"/>
                                                    <w:left w:val="none" w:sz="0" w:space="0" w:color="auto"/>
                                                    <w:bottom w:val="none" w:sz="0" w:space="0" w:color="auto"/>
                                                    <w:right w:val="none" w:sz="0" w:space="0" w:color="auto"/>
                                                  </w:divBdr>
                                                  <w:divsChild>
                                                    <w:div w:id="16013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s-h.org.uk/guidelines/guidelines/red-cell-transfusion-in-sickle-cell-disease-part-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icklecellsociety.org/wp-content/uploads/2018/04/Web-version-FINAL-SCS-Standards-GSM-6.4.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g1wordpress01/wordpress/wp-content/uploads/2016/06/Blood-Transfusion-Adults.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49BDC-F2D3-4D57-85DB-D32B2D9F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Sumiya Ahmad</dc:creator>
  <cp:lastModifiedBy>Elizabeth Rhodes</cp:lastModifiedBy>
  <cp:revision>5</cp:revision>
  <cp:lastPrinted>2017-03-14T17:59:00Z</cp:lastPrinted>
  <dcterms:created xsi:type="dcterms:W3CDTF">2020-02-24T11:12:00Z</dcterms:created>
  <dcterms:modified xsi:type="dcterms:W3CDTF">2020-02-24T17:05:00Z</dcterms:modified>
</cp:coreProperties>
</file>