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932" w:rsidRDefault="00FC5932" w:rsidP="00937BAF">
      <w:pPr>
        <w:pStyle w:val="BodyText"/>
        <w:kinsoku w:val="0"/>
        <w:overflowPunct w:val="0"/>
        <w:spacing w:before="196"/>
        <w:ind w:left="-1701" w:right="1665"/>
        <w:rPr>
          <w:sz w:val="32"/>
          <w:szCs w:val="32"/>
        </w:rPr>
        <w:sectPr w:rsidR="00FC5932">
          <w:headerReference w:type="default" r:id="rId9"/>
          <w:pgSz w:w="11900" w:h="16840"/>
          <w:pgMar w:top="1320" w:right="980" w:bottom="1060" w:left="1220" w:header="0" w:footer="878" w:gutter="0"/>
          <w:cols w:num="2" w:space="720" w:equalWidth="0">
            <w:col w:w="1807" w:space="2"/>
            <w:col w:w="7891"/>
          </w:cols>
          <w:noEndnote/>
        </w:sectPr>
      </w:pPr>
    </w:p>
    <w:p w:rsidR="00FC5932" w:rsidRDefault="00FC5932" w:rsidP="00FC5932">
      <w:pPr>
        <w:pStyle w:val="BodyText"/>
        <w:kinsoku w:val="0"/>
        <w:overflowPunct w:val="0"/>
        <w:ind w:left="0"/>
        <w:rPr>
          <w:b/>
          <w:bCs/>
          <w:sz w:val="20"/>
          <w:szCs w:val="20"/>
        </w:rPr>
      </w:pPr>
    </w:p>
    <w:p w:rsidR="00937BAF" w:rsidRPr="00937BAF" w:rsidRDefault="00802AE5" w:rsidP="00937BAF">
      <w:pPr>
        <w:jc w:val="center"/>
        <w:rPr>
          <w:rFonts w:ascii="Arial" w:hAnsi="Arial" w:cs="Arial"/>
          <w:b/>
          <w:sz w:val="32"/>
          <w:szCs w:val="32"/>
        </w:rPr>
      </w:pPr>
      <w:r>
        <w:rPr>
          <w:rFonts w:ascii="Arial" w:hAnsi="Arial" w:cs="Arial"/>
          <w:b/>
          <w:sz w:val="32"/>
          <w:szCs w:val="32"/>
        </w:rPr>
        <w:t xml:space="preserve">Blood transfusion in patients with Sickle Cell Disease </w:t>
      </w:r>
    </w:p>
    <w:p w:rsidR="00937BAF" w:rsidRDefault="00937BAF" w:rsidP="00FC5932">
      <w:pPr>
        <w:pStyle w:val="BodyText"/>
        <w:kinsoku w:val="0"/>
        <w:overflowPunct w:val="0"/>
        <w:ind w:left="0"/>
        <w:rPr>
          <w:b/>
          <w:bCs/>
          <w:sz w:val="20"/>
          <w:szCs w:val="20"/>
        </w:rPr>
      </w:pPr>
    </w:p>
    <w:p w:rsidR="00937BAF" w:rsidRDefault="00937BAF" w:rsidP="00FC5932">
      <w:pPr>
        <w:pStyle w:val="BodyText"/>
        <w:kinsoku w:val="0"/>
        <w:overflowPunct w:val="0"/>
        <w:ind w:left="0"/>
        <w:rPr>
          <w:b/>
          <w:bCs/>
          <w:sz w:val="20"/>
          <w:szCs w:val="20"/>
        </w:rPr>
      </w:pPr>
    </w:p>
    <w:p w:rsidR="00FC5932" w:rsidRDefault="00FC5932" w:rsidP="00FC5932">
      <w:pPr>
        <w:pStyle w:val="BodyText"/>
        <w:kinsoku w:val="0"/>
        <w:overflowPunct w:val="0"/>
        <w:spacing w:before="9"/>
        <w:ind w:left="0"/>
        <w:rPr>
          <w:b/>
          <w:bCs/>
          <w:sz w:val="20"/>
          <w:szCs w:val="20"/>
        </w:rPr>
      </w:pPr>
    </w:p>
    <w:p w:rsidR="00FC5932" w:rsidRDefault="00FC5932" w:rsidP="00FC5932">
      <w:pPr>
        <w:pStyle w:val="BodyText"/>
        <w:kinsoku w:val="0"/>
        <w:overflowPunct w:val="0"/>
        <w:spacing w:before="11"/>
        <w:ind w:left="0"/>
        <w:rPr>
          <w:i/>
          <w:iCs/>
          <w:sz w:val="16"/>
          <w:szCs w:val="16"/>
        </w:rPr>
      </w:pPr>
    </w:p>
    <w:tbl>
      <w:tblPr>
        <w:tblW w:w="0" w:type="auto"/>
        <w:tblInd w:w="220" w:type="dxa"/>
        <w:tblLayout w:type="fixed"/>
        <w:tblCellMar>
          <w:left w:w="0" w:type="dxa"/>
          <w:right w:w="0" w:type="dxa"/>
        </w:tblCellMar>
        <w:tblLook w:val="0000" w:firstRow="0" w:lastRow="0" w:firstColumn="0" w:lastColumn="0" w:noHBand="0" w:noVBand="0"/>
      </w:tblPr>
      <w:tblGrid>
        <w:gridCol w:w="3420"/>
        <w:gridCol w:w="5940"/>
      </w:tblGrid>
      <w:tr w:rsidR="00FC5932">
        <w:trPr>
          <w:trHeight w:hRule="exact" w:val="30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pPr>
            <w:r>
              <w:rPr>
                <w:rFonts w:ascii="Arial" w:hAnsi="Arial" w:cs="Arial"/>
                <w:b/>
                <w:bCs/>
                <w:sz w:val="22"/>
                <w:szCs w:val="22"/>
              </w:rPr>
              <w:t>Profile</w:t>
            </w:r>
          </w:p>
        </w:tc>
      </w:tr>
      <w:tr w:rsidR="00937BAF">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right="101"/>
              <w:jc w:val="right"/>
            </w:pPr>
            <w:r>
              <w:rPr>
                <w:rFonts w:ascii="Arial" w:hAnsi="Arial" w:cs="Arial"/>
                <w:b/>
                <w:bCs/>
                <w:w w:val="95"/>
                <w:sz w:val="22"/>
                <w:szCs w:val="22"/>
              </w:rPr>
              <w:t>Version:</w:t>
            </w:r>
          </w:p>
        </w:tc>
        <w:tc>
          <w:tcPr>
            <w:tcW w:w="5940" w:type="dxa"/>
            <w:tcBorders>
              <w:top w:val="single" w:sz="4" w:space="0" w:color="000000"/>
              <w:left w:val="single" w:sz="4" w:space="0" w:color="000000"/>
              <w:bottom w:val="single" w:sz="4" w:space="0" w:color="000000"/>
              <w:right w:val="single" w:sz="4" w:space="0" w:color="000000"/>
            </w:tcBorders>
          </w:tcPr>
          <w:p w:rsidR="00937BAF" w:rsidRDefault="00B3284E" w:rsidP="008F4B2F">
            <w:pPr>
              <w:pStyle w:val="TableParagraph"/>
              <w:kinsoku w:val="0"/>
              <w:overflowPunct w:val="0"/>
              <w:ind w:left="103"/>
              <w:rPr>
                <w:rFonts w:ascii="Arial" w:hAnsi="Arial" w:cs="Arial"/>
                <w:i/>
                <w:iCs/>
                <w:sz w:val="22"/>
                <w:szCs w:val="22"/>
              </w:rPr>
            </w:pPr>
            <w:r>
              <w:rPr>
                <w:rFonts w:ascii="Arial" w:hAnsi="Arial" w:cs="Arial"/>
                <w:i/>
                <w:iCs/>
                <w:sz w:val="22"/>
                <w:szCs w:val="22"/>
              </w:rPr>
              <w:t>V3.1</w:t>
            </w:r>
          </w:p>
          <w:p w:rsidR="00B3284E" w:rsidRDefault="00B3284E" w:rsidP="008F4B2F">
            <w:pPr>
              <w:pStyle w:val="TableParagraph"/>
              <w:kinsoku w:val="0"/>
              <w:overflowPunct w:val="0"/>
              <w:ind w:left="103"/>
            </w:pPr>
          </w:p>
        </w:tc>
      </w:tr>
      <w:tr w:rsidR="00937BAF">
        <w:trPr>
          <w:trHeight w:hRule="exact" w:val="627"/>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right="101"/>
              <w:jc w:val="right"/>
            </w:pPr>
            <w:r>
              <w:rPr>
                <w:rFonts w:ascii="Arial" w:hAnsi="Arial" w:cs="Arial"/>
                <w:b/>
                <w:bCs/>
                <w:w w:val="95"/>
                <w:sz w:val="22"/>
                <w:szCs w:val="22"/>
              </w:rPr>
              <w:t>Author:</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rPr>
                <w:rFonts w:ascii="Arial" w:hAnsi="Arial" w:cs="Arial"/>
                <w:i/>
                <w:iCs/>
              </w:rPr>
            </w:pPr>
            <w:r>
              <w:rPr>
                <w:rFonts w:ascii="Arial" w:hAnsi="Arial" w:cs="Arial"/>
                <w:i/>
                <w:iCs/>
                <w:sz w:val="22"/>
                <w:szCs w:val="22"/>
              </w:rPr>
              <w:t>Dr Elizabeth Rhodes, Consultant Haematologist</w:t>
            </w:r>
          </w:p>
          <w:p w:rsidR="00937BAF" w:rsidRDefault="00937BAF" w:rsidP="008F4B2F">
            <w:pPr>
              <w:pStyle w:val="TableParagraph"/>
              <w:kinsoku w:val="0"/>
              <w:overflowPunct w:val="0"/>
              <w:ind w:left="103"/>
            </w:pPr>
            <w:r>
              <w:rPr>
                <w:rFonts w:ascii="Arial" w:hAnsi="Arial" w:cs="Arial"/>
                <w:i/>
                <w:iCs/>
                <w:sz w:val="22"/>
                <w:szCs w:val="22"/>
              </w:rPr>
              <w:t>Dr Julia Sikorska, Consultant Haematologist</w:t>
            </w:r>
          </w:p>
        </w:tc>
      </w:tr>
      <w:tr w:rsidR="00937BAF" w:rsidTr="00B3284E">
        <w:trPr>
          <w:trHeight w:hRule="exact" w:val="496"/>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jc w:val="right"/>
            </w:pPr>
            <w:r>
              <w:rPr>
                <w:rFonts w:ascii="Arial" w:hAnsi="Arial" w:cs="Arial"/>
                <w:b/>
                <w:bCs/>
                <w:sz w:val="22"/>
                <w:szCs w:val="22"/>
              </w:rPr>
              <w:t>Executive/Divisional sponsor:</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rPr>
                <w:rFonts w:ascii="Arial" w:hAnsi="Arial" w:cs="Arial"/>
                <w:i/>
                <w:sz w:val="22"/>
                <w:szCs w:val="22"/>
              </w:rPr>
            </w:pPr>
            <w:r>
              <w:rPr>
                <w:rFonts w:ascii="Arial" w:hAnsi="Arial" w:cs="Arial"/>
                <w:i/>
                <w:sz w:val="22"/>
                <w:szCs w:val="22"/>
              </w:rPr>
              <w:t>Dr Lisa Pickering, Divisional Chair</w:t>
            </w:r>
            <w:r w:rsidR="00B3284E">
              <w:rPr>
                <w:rFonts w:ascii="Arial" w:hAnsi="Arial" w:cs="Arial"/>
                <w:i/>
                <w:sz w:val="22"/>
                <w:szCs w:val="22"/>
              </w:rPr>
              <w:t xml:space="preserve"> (v3.0 2019)</w:t>
            </w:r>
          </w:p>
          <w:p w:rsidR="00B3284E" w:rsidRPr="00C2635A" w:rsidRDefault="00B3284E" w:rsidP="008F4B2F">
            <w:pPr>
              <w:pStyle w:val="TableParagraph"/>
              <w:kinsoku w:val="0"/>
              <w:overflowPunct w:val="0"/>
              <w:ind w:left="103"/>
              <w:rPr>
                <w:rFonts w:ascii="Arial" w:hAnsi="Arial" w:cs="Arial"/>
                <w:i/>
              </w:rPr>
            </w:pPr>
          </w:p>
        </w:tc>
      </w:tr>
      <w:tr w:rsidR="00937BAF">
        <w:trPr>
          <w:trHeight w:hRule="exact" w:val="722"/>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left="1546"/>
              <w:jc w:val="right"/>
            </w:pPr>
            <w:r>
              <w:rPr>
                <w:rFonts w:ascii="Arial" w:hAnsi="Arial" w:cs="Arial"/>
                <w:b/>
                <w:bCs/>
                <w:sz w:val="22"/>
                <w:szCs w:val="22"/>
              </w:rPr>
              <w:t>Applies to:</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pPr>
            <w:r>
              <w:rPr>
                <w:rFonts w:ascii="Arial" w:hAnsi="Arial" w:cs="Arial"/>
                <w:i/>
                <w:iCs/>
                <w:sz w:val="22"/>
                <w:szCs w:val="22"/>
              </w:rPr>
              <w:t>All staff involved in the care of patients with Sickle Cell Disease</w:t>
            </w:r>
          </w:p>
        </w:tc>
      </w:tr>
      <w:tr w:rsidR="00937BAF" w:rsidTr="00B3284E">
        <w:trPr>
          <w:trHeight w:hRule="exact" w:val="571"/>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left="1999"/>
            </w:pPr>
            <w:r>
              <w:rPr>
                <w:rFonts w:ascii="Arial" w:hAnsi="Arial" w:cs="Arial"/>
                <w:b/>
                <w:bCs/>
                <w:sz w:val="22"/>
                <w:szCs w:val="22"/>
              </w:rPr>
              <w:t>Date</w:t>
            </w:r>
            <w:r>
              <w:rPr>
                <w:rFonts w:ascii="Arial" w:hAnsi="Arial" w:cs="Arial"/>
                <w:b/>
                <w:bCs/>
                <w:spacing w:val="-3"/>
                <w:sz w:val="22"/>
                <w:szCs w:val="22"/>
              </w:rPr>
              <w:t xml:space="preserve"> </w:t>
            </w:r>
            <w:r>
              <w:rPr>
                <w:rFonts w:ascii="Arial" w:hAnsi="Arial" w:cs="Arial"/>
                <w:b/>
                <w:bCs/>
                <w:sz w:val="22"/>
                <w:szCs w:val="22"/>
              </w:rPr>
              <w:t>issued:</w:t>
            </w:r>
          </w:p>
        </w:tc>
        <w:tc>
          <w:tcPr>
            <w:tcW w:w="5940" w:type="dxa"/>
            <w:tcBorders>
              <w:top w:val="single" w:sz="4" w:space="0" w:color="000000"/>
              <w:left w:val="single" w:sz="4" w:space="0" w:color="000000"/>
              <w:bottom w:val="single" w:sz="4" w:space="0" w:color="000000"/>
              <w:right w:val="single" w:sz="4" w:space="0" w:color="000000"/>
            </w:tcBorders>
          </w:tcPr>
          <w:p w:rsidR="00937BAF" w:rsidRDefault="00B3284E" w:rsidP="008F4B2F">
            <w:pPr>
              <w:pStyle w:val="TableParagraph"/>
              <w:kinsoku w:val="0"/>
              <w:overflowPunct w:val="0"/>
              <w:ind w:left="103"/>
              <w:rPr>
                <w:rFonts w:ascii="Arial" w:hAnsi="Arial" w:cs="Arial"/>
                <w:i/>
                <w:iCs/>
                <w:sz w:val="22"/>
                <w:szCs w:val="22"/>
              </w:rPr>
            </w:pPr>
            <w:r>
              <w:rPr>
                <w:rFonts w:ascii="Arial" w:hAnsi="Arial" w:cs="Arial"/>
                <w:i/>
                <w:iCs/>
                <w:sz w:val="22"/>
                <w:szCs w:val="22"/>
              </w:rPr>
              <w:t xml:space="preserve">V3.0 </w:t>
            </w:r>
            <w:r w:rsidR="00937BAF">
              <w:rPr>
                <w:rFonts w:ascii="Arial" w:hAnsi="Arial" w:cs="Arial"/>
                <w:i/>
                <w:iCs/>
                <w:sz w:val="22"/>
                <w:szCs w:val="22"/>
              </w:rPr>
              <w:t xml:space="preserve">February 2019 </w:t>
            </w:r>
          </w:p>
          <w:p w:rsidR="00B3284E" w:rsidRDefault="00B3284E" w:rsidP="008F4B2F">
            <w:pPr>
              <w:pStyle w:val="TableParagraph"/>
              <w:kinsoku w:val="0"/>
              <w:overflowPunct w:val="0"/>
              <w:ind w:left="103"/>
            </w:pPr>
            <w:r>
              <w:rPr>
                <w:rFonts w:ascii="Arial" w:hAnsi="Arial" w:cs="Arial"/>
                <w:i/>
                <w:iCs/>
                <w:sz w:val="22"/>
                <w:szCs w:val="22"/>
              </w:rPr>
              <w:t>V3.1 February 2020</w:t>
            </w:r>
          </w:p>
        </w:tc>
      </w:tr>
      <w:tr w:rsidR="00937BAF">
        <w:trPr>
          <w:trHeight w:hRule="exact" w:val="304"/>
        </w:trPr>
        <w:tc>
          <w:tcPr>
            <w:tcW w:w="3420" w:type="dxa"/>
            <w:tcBorders>
              <w:top w:val="single" w:sz="4" w:space="0" w:color="000000"/>
              <w:left w:val="single" w:sz="4" w:space="0" w:color="000000"/>
              <w:bottom w:val="single" w:sz="4" w:space="0" w:color="000000"/>
              <w:right w:val="single" w:sz="4" w:space="0" w:color="000000"/>
            </w:tcBorders>
          </w:tcPr>
          <w:p w:rsidR="00937BAF" w:rsidRDefault="00937BAF" w:rsidP="0098329C">
            <w:pPr>
              <w:pStyle w:val="TableParagraph"/>
              <w:kinsoku w:val="0"/>
              <w:overflowPunct w:val="0"/>
              <w:ind w:left="1962"/>
            </w:pPr>
            <w:r>
              <w:rPr>
                <w:rFonts w:ascii="Arial" w:hAnsi="Arial" w:cs="Arial"/>
                <w:b/>
                <w:bCs/>
                <w:sz w:val="22"/>
                <w:szCs w:val="22"/>
              </w:rPr>
              <w:t>Review</w:t>
            </w:r>
            <w:r>
              <w:rPr>
                <w:rFonts w:ascii="Arial" w:hAnsi="Arial" w:cs="Arial"/>
                <w:b/>
                <w:bCs/>
                <w:spacing w:val="-3"/>
                <w:sz w:val="22"/>
                <w:szCs w:val="22"/>
              </w:rPr>
              <w:t xml:space="preserve"> </w:t>
            </w:r>
            <w:r>
              <w:rPr>
                <w:rFonts w:ascii="Arial" w:hAnsi="Arial" w:cs="Arial"/>
                <w:b/>
                <w:bCs/>
                <w:sz w:val="22"/>
                <w:szCs w:val="22"/>
              </w:rPr>
              <w:t>date:</w:t>
            </w:r>
          </w:p>
        </w:tc>
        <w:tc>
          <w:tcPr>
            <w:tcW w:w="5940" w:type="dxa"/>
            <w:tcBorders>
              <w:top w:val="single" w:sz="4" w:space="0" w:color="000000"/>
              <w:left w:val="single" w:sz="4" w:space="0" w:color="000000"/>
              <w:bottom w:val="single" w:sz="4" w:space="0" w:color="000000"/>
              <w:right w:val="single" w:sz="4" w:space="0" w:color="000000"/>
            </w:tcBorders>
          </w:tcPr>
          <w:p w:rsidR="00937BAF" w:rsidRDefault="00937BAF" w:rsidP="008F4B2F">
            <w:pPr>
              <w:pStyle w:val="TableParagraph"/>
              <w:kinsoku w:val="0"/>
              <w:overflowPunct w:val="0"/>
              <w:ind w:left="103"/>
            </w:pPr>
            <w:r>
              <w:rPr>
                <w:rFonts w:ascii="Arial" w:hAnsi="Arial" w:cs="Arial"/>
                <w:i/>
                <w:iCs/>
                <w:sz w:val="22"/>
                <w:szCs w:val="22"/>
              </w:rPr>
              <w:t>February 2022</w:t>
            </w:r>
          </w:p>
        </w:tc>
      </w:tr>
      <w:tr w:rsidR="00FC5932">
        <w:trPr>
          <w:trHeight w:hRule="exact" w:val="302"/>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pPr>
            <w:r>
              <w:rPr>
                <w:rFonts w:ascii="Arial" w:hAnsi="Arial" w:cs="Arial"/>
                <w:b/>
                <w:bCs/>
                <w:sz w:val="22"/>
                <w:szCs w:val="22"/>
              </w:rPr>
              <w:t>Approval</w:t>
            </w:r>
          </w:p>
        </w:tc>
      </w:tr>
      <w:tr w:rsidR="00FC5932">
        <w:trPr>
          <w:trHeight w:hRule="exact" w:val="304"/>
        </w:trPr>
        <w:tc>
          <w:tcPr>
            <w:tcW w:w="3420"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jc w:val="right"/>
            </w:pPr>
            <w:r>
              <w:rPr>
                <w:rFonts w:ascii="Arial" w:hAnsi="Arial" w:cs="Arial"/>
                <w:b/>
                <w:bCs/>
                <w:sz w:val="22"/>
                <w:szCs w:val="22"/>
              </w:rPr>
              <w:t>Approval</w:t>
            </w:r>
            <w:r>
              <w:rPr>
                <w:rFonts w:ascii="Arial" w:hAnsi="Arial" w:cs="Arial"/>
                <w:b/>
                <w:bCs/>
                <w:spacing w:val="-4"/>
                <w:sz w:val="22"/>
                <w:szCs w:val="22"/>
              </w:rPr>
              <w:t xml:space="preserve"> </w:t>
            </w:r>
            <w:r w:rsidR="0098329C">
              <w:rPr>
                <w:rFonts w:ascii="Arial" w:hAnsi="Arial" w:cs="Arial"/>
                <w:b/>
                <w:bCs/>
                <w:spacing w:val="-4"/>
                <w:sz w:val="22"/>
                <w:szCs w:val="22"/>
              </w:rPr>
              <w:t>person/</w:t>
            </w:r>
            <w:r>
              <w:rPr>
                <w:rFonts w:ascii="Arial" w:hAnsi="Arial" w:cs="Arial"/>
                <w:b/>
                <w:bCs/>
                <w:sz w:val="22"/>
                <w:szCs w:val="22"/>
              </w:rPr>
              <w:t>Committee:</w:t>
            </w:r>
          </w:p>
        </w:tc>
        <w:tc>
          <w:tcPr>
            <w:tcW w:w="5940" w:type="dxa"/>
            <w:tcBorders>
              <w:top w:val="single" w:sz="4" w:space="0" w:color="000000"/>
              <w:left w:val="single" w:sz="4" w:space="0" w:color="000000"/>
              <w:bottom w:val="single" w:sz="4" w:space="0" w:color="000000"/>
              <w:right w:val="single" w:sz="4" w:space="0" w:color="000000"/>
            </w:tcBorders>
          </w:tcPr>
          <w:p w:rsidR="00FC5932" w:rsidRPr="002D16C0" w:rsidRDefault="002D16C0" w:rsidP="0098329C">
            <w:pPr>
              <w:rPr>
                <w:rFonts w:ascii="Arial" w:hAnsi="Arial" w:cs="Arial"/>
                <w:i/>
                <w:sz w:val="22"/>
                <w:szCs w:val="22"/>
              </w:rPr>
            </w:pPr>
            <w:proofErr w:type="spellStart"/>
            <w:r w:rsidRPr="002D16C0">
              <w:rPr>
                <w:rFonts w:ascii="Arial" w:hAnsi="Arial" w:cs="Arial"/>
                <w:i/>
                <w:sz w:val="22"/>
                <w:szCs w:val="22"/>
              </w:rPr>
              <w:t>MedCard</w:t>
            </w:r>
            <w:proofErr w:type="spellEnd"/>
            <w:r w:rsidRPr="002D16C0">
              <w:rPr>
                <w:rFonts w:ascii="Arial" w:hAnsi="Arial" w:cs="Arial"/>
                <w:i/>
                <w:sz w:val="22"/>
                <w:szCs w:val="22"/>
              </w:rPr>
              <w:t xml:space="preserve"> Divisional Governance Board</w:t>
            </w:r>
          </w:p>
        </w:tc>
      </w:tr>
      <w:tr w:rsidR="00FC5932">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ind w:right="101"/>
              <w:jc w:val="right"/>
            </w:pPr>
            <w:r>
              <w:rPr>
                <w:rFonts w:ascii="Arial" w:hAnsi="Arial" w:cs="Arial"/>
                <w:b/>
                <w:bCs/>
                <w:w w:val="95"/>
                <w:sz w:val="22"/>
                <w:szCs w:val="22"/>
              </w:rPr>
              <w:t>Date:</w:t>
            </w:r>
          </w:p>
        </w:tc>
        <w:tc>
          <w:tcPr>
            <w:tcW w:w="5940" w:type="dxa"/>
            <w:tcBorders>
              <w:top w:val="single" w:sz="4" w:space="0" w:color="000000"/>
              <w:left w:val="single" w:sz="4" w:space="0" w:color="000000"/>
              <w:bottom w:val="single" w:sz="4" w:space="0" w:color="000000"/>
              <w:right w:val="single" w:sz="4" w:space="0" w:color="000000"/>
            </w:tcBorders>
          </w:tcPr>
          <w:p w:rsidR="00FC5932" w:rsidRPr="002D16C0" w:rsidRDefault="002D16C0" w:rsidP="0098329C">
            <w:pPr>
              <w:rPr>
                <w:rFonts w:ascii="Arial" w:hAnsi="Arial" w:cs="Arial"/>
                <w:i/>
                <w:sz w:val="22"/>
                <w:szCs w:val="22"/>
              </w:rPr>
            </w:pPr>
            <w:r w:rsidRPr="002D16C0">
              <w:rPr>
                <w:rFonts w:ascii="Arial" w:hAnsi="Arial" w:cs="Arial"/>
                <w:i/>
                <w:sz w:val="22"/>
                <w:szCs w:val="22"/>
              </w:rPr>
              <w:t>14</w:t>
            </w:r>
            <w:r w:rsidRPr="002D16C0">
              <w:rPr>
                <w:rFonts w:ascii="Arial" w:hAnsi="Arial" w:cs="Arial"/>
                <w:i/>
                <w:sz w:val="22"/>
                <w:szCs w:val="22"/>
                <w:vertAlign w:val="superscript"/>
              </w:rPr>
              <w:t>th</w:t>
            </w:r>
            <w:r w:rsidRPr="002D16C0">
              <w:rPr>
                <w:rFonts w:ascii="Arial" w:hAnsi="Arial" w:cs="Arial"/>
                <w:i/>
                <w:sz w:val="22"/>
                <w:szCs w:val="22"/>
              </w:rPr>
              <w:t xml:space="preserve"> February 2019</w:t>
            </w:r>
          </w:p>
        </w:tc>
      </w:tr>
      <w:tr w:rsidR="00B3284E">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B3284E" w:rsidRDefault="00B3284E" w:rsidP="00F85AA4">
            <w:pPr>
              <w:pStyle w:val="TableParagraph"/>
              <w:kinsoku w:val="0"/>
              <w:overflowPunct w:val="0"/>
              <w:jc w:val="right"/>
            </w:pPr>
            <w:r>
              <w:rPr>
                <w:rFonts w:ascii="Arial" w:hAnsi="Arial" w:cs="Arial"/>
                <w:b/>
                <w:bCs/>
                <w:sz w:val="22"/>
                <w:szCs w:val="22"/>
              </w:rPr>
              <w:t>Approval</w:t>
            </w:r>
            <w:r>
              <w:rPr>
                <w:rFonts w:ascii="Arial" w:hAnsi="Arial" w:cs="Arial"/>
                <w:b/>
                <w:bCs/>
                <w:spacing w:val="-4"/>
                <w:sz w:val="22"/>
                <w:szCs w:val="22"/>
              </w:rPr>
              <w:t xml:space="preserve"> person/</w:t>
            </w:r>
            <w:r>
              <w:rPr>
                <w:rFonts w:ascii="Arial" w:hAnsi="Arial" w:cs="Arial"/>
                <w:b/>
                <w:bCs/>
                <w:sz w:val="22"/>
                <w:szCs w:val="22"/>
              </w:rPr>
              <w:t>Committee:</w:t>
            </w:r>
          </w:p>
        </w:tc>
        <w:tc>
          <w:tcPr>
            <w:tcW w:w="5940" w:type="dxa"/>
            <w:tcBorders>
              <w:top w:val="single" w:sz="4" w:space="0" w:color="000000"/>
              <w:left w:val="single" w:sz="4" w:space="0" w:color="000000"/>
              <w:bottom w:val="single" w:sz="4" w:space="0" w:color="000000"/>
              <w:right w:val="single" w:sz="4" w:space="0" w:color="000000"/>
            </w:tcBorders>
          </w:tcPr>
          <w:p w:rsidR="00B3284E" w:rsidRPr="002D16C0" w:rsidRDefault="00B3284E" w:rsidP="0098329C">
            <w:pPr>
              <w:rPr>
                <w:rFonts w:ascii="Arial" w:hAnsi="Arial" w:cs="Arial"/>
                <w:i/>
                <w:sz w:val="22"/>
                <w:szCs w:val="22"/>
              </w:rPr>
            </w:pPr>
            <w:r>
              <w:rPr>
                <w:rFonts w:ascii="Arial" w:hAnsi="Arial" w:cs="Arial"/>
                <w:i/>
                <w:sz w:val="22"/>
                <w:szCs w:val="22"/>
              </w:rPr>
              <w:t>Hospital Transfusion Committee</w:t>
            </w:r>
          </w:p>
        </w:tc>
      </w:tr>
      <w:tr w:rsidR="00B3284E">
        <w:trPr>
          <w:trHeight w:hRule="exact" w:val="302"/>
        </w:trPr>
        <w:tc>
          <w:tcPr>
            <w:tcW w:w="3420" w:type="dxa"/>
            <w:tcBorders>
              <w:top w:val="single" w:sz="4" w:space="0" w:color="000000"/>
              <w:left w:val="single" w:sz="4" w:space="0" w:color="000000"/>
              <w:bottom w:val="single" w:sz="4" w:space="0" w:color="000000"/>
              <w:right w:val="single" w:sz="4" w:space="0" w:color="000000"/>
            </w:tcBorders>
          </w:tcPr>
          <w:p w:rsidR="00B3284E" w:rsidRDefault="00B3284E" w:rsidP="00F85AA4">
            <w:pPr>
              <w:pStyle w:val="TableParagraph"/>
              <w:kinsoku w:val="0"/>
              <w:overflowPunct w:val="0"/>
              <w:ind w:right="101"/>
              <w:jc w:val="right"/>
            </w:pPr>
            <w:r>
              <w:rPr>
                <w:rFonts w:ascii="Arial" w:hAnsi="Arial" w:cs="Arial"/>
                <w:b/>
                <w:bCs/>
                <w:w w:val="95"/>
                <w:sz w:val="22"/>
                <w:szCs w:val="22"/>
              </w:rPr>
              <w:t>Date:</w:t>
            </w:r>
          </w:p>
        </w:tc>
        <w:tc>
          <w:tcPr>
            <w:tcW w:w="5940" w:type="dxa"/>
            <w:tcBorders>
              <w:top w:val="single" w:sz="4" w:space="0" w:color="000000"/>
              <w:left w:val="single" w:sz="4" w:space="0" w:color="000000"/>
              <w:bottom w:val="single" w:sz="4" w:space="0" w:color="000000"/>
              <w:right w:val="single" w:sz="4" w:space="0" w:color="000000"/>
            </w:tcBorders>
          </w:tcPr>
          <w:p w:rsidR="00B3284E" w:rsidRPr="002D16C0" w:rsidRDefault="00256416" w:rsidP="0098329C">
            <w:pPr>
              <w:rPr>
                <w:rFonts w:ascii="Arial" w:hAnsi="Arial" w:cs="Arial"/>
                <w:i/>
                <w:sz w:val="22"/>
                <w:szCs w:val="22"/>
              </w:rPr>
            </w:pPr>
            <w:r>
              <w:rPr>
                <w:rFonts w:ascii="Arial" w:hAnsi="Arial" w:cs="Arial"/>
                <w:i/>
                <w:sz w:val="22"/>
                <w:szCs w:val="22"/>
              </w:rPr>
              <w:t>March 2020</w:t>
            </w:r>
          </w:p>
        </w:tc>
      </w:tr>
    </w:tbl>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spacing w:before="11"/>
        <w:ind w:left="0"/>
        <w:rPr>
          <w:i/>
          <w:iCs/>
          <w:sz w:val="29"/>
          <w:szCs w:val="29"/>
        </w:rPr>
      </w:pPr>
    </w:p>
    <w:p w:rsidR="00FC5932" w:rsidRDefault="00FC5932" w:rsidP="00FC5932">
      <w:pPr>
        <w:sectPr w:rsidR="00FC5932">
          <w:type w:val="continuous"/>
          <w:pgSz w:w="11900" w:h="16840"/>
          <w:pgMar w:top="1360" w:right="980" w:bottom="1080" w:left="1220" w:header="720" w:footer="720" w:gutter="0"/>
          <w:cols w:space="720" w:equalWidth="0">
            <w:col w:w="9700"/>
          </w:cols>
          <w:noEndnote/>
        </w:sectPr>
      </w:pPr>
    </w:p>
    <w:p w:rsidR="00FC5932" w:rsidRDefault="00FC5932" w:rsidP="00FC5932">
      <w:pPr>
        <w:pStyle w:val="Heading1"/>
        <w:kinsoku w:val="0"/>
        <w:overflowPunct w:val="0"/>
        <w:spacing w:before="37"/>
        <w:ind w:right="873"/>
        <w:rPr>
          <w:b w:val="0"/>
          <w:bCs w:val="0"/>
          <w:u w:val="none"/>
        </w:rPr>
      </w:pPr>
      <w:r>
        <w:rPr>
          <w:u w:val="none"/>
        </w:rPr>
        <w:lastRenderedPageBreak/>
        <w:t>Contents</w:t>
      </w:r>
    </w:p>
    <w:p w:rsidR="00FC5932" w:rsidRDefault="00FC5932" w:rsidP="00FC5932">
      <w:pPr>
        <w:pStyle w:val="BodyText"/>
        <w:kinsoku w:val="0"/>
        <w:overflowPunct w:val="0"/>
        <w:ind w:left="0"/>
        <w:rPr>
          <w:b/>
          <w:bCs/>
          <w:sz w:val="20"/>
          <w:szCs w:val="20"/>
        </w:rPr>
      </w:pPr>
    </w:p>
    <w:p w:rsidR="00FC5932" w:rsidRDefault="00FC5932" w:rsidP="00FC5932">
      <w:pPr>
        <w:pStyle w:val="BodyText"/>
        <w:kinsoku w:val="0"/>
        <w:overflowPunct w:val="0"/>
        <w:spacing w:before="1"/>
        <w:ind w:left="0"/>
        <w:rPr>
          <w:b/>
          <w:bCs/>
          <w:sz w:val="29"/>
          <w:szCs w:val="29"/>
        </w:rPr>
      </w:pPr>
    </w:p>
    <w:tbl>
      <w:tblPr>
        <w:tblW w:w="0" w:type="auto"/>
        <w:tblInd w:w="473" w:type="dxa"/>
        <w:tblLayout w:type="fixed"/>
        <w:tblCellMar>
          <w:left w:w="0" w:type="dxa"/>
          <w:right w:w="0" w:type="dxa"/>
        </w:tblCellMar>
        <w:tblLook w:val="0000" w:firstRow="0" w:lastRow="0" w:firstColumn="0" w:lastColumn="0" w:noHBand="0" w:noVBand="0"/>
      </w:tblPr>
      <w:tblGrid>
        <w:gridCol w:w="813"/>
        <w:gridCol w:w="6480"/>
        <w:gridCol w:w="986"/>
      </w:tblGrid>
      <w:tr w:rsidR="00FC5932">
        <w:trPr>
          <w:trHeight w:hRule="exact" w:val="438"/>
        </w:trPr>
        <w:tc>
          <w:tcPr>
            <w:tcW w:w="7293" w:type="dxa"/>
            <w:gridSpan w:val="2"/>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before="87"/>
              <w:ind w:left="103"/>
            </w:pPr>
            <w:r>
              <w:rPr>
                <w:rFonts w:ascii="Arial" w:hAnsi="Arial" w:cs="Arial"/>
                <w:b/>
                <w:bCs/>
                <w:sz w:val="22"/>
                <w:szCs w:val="22"/>
              </w:rPr>
              <w:t>Paragraph</w:t>
            </w:r>
          </w:p>
        </w:tc>
        <w:tc>
          <w:tcPr>
            <w:tcW w:w="986"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before="87"/>
              <w:ind w:left="225"/>
            </w:pPr>
            <w:r>
              <w:rPr>
                <w:rFonts w:ascii="Arial" w:hAnsi="Arial" w:cs="Arial"/>
                <w:b/>
                <w:bCs/>
                <w:sz w:val="22"/>
                <w:szCs w:val="22"/>
              </w:rPr>
              <w:t>Page</w:t>
            </w:r>
          </w:p>
        </w:tc>
      </w:tr>
      <w:tr w:rsidR="00FC5932">
        <w:trPr>
          <w:trHeight w:hRule="exact" w:val="342"/>
        </w:trPr>
        <w:tc>
          <w:tcPr>
            <w:tcW w:w="813" w:type="dxa"/>
            <w:tcBorders>
              <w:top w:val="single" w:sz="4" w:space="0" w:color="000000"/>
              <w:left w:val="single" w:sz="4" w:space="0" w:color="000000"/>
              <w:bottom w:val="single" w:sz="4" w:space="0" w:color="000000"/>
              <w:right w:val="single" w:sz="4" w:space="0" w:color="000000"/>
            </w:tcBorders>
          </w:tcPr>
          <w:p w:rsidR="00FC5932" w:rsidRDefault="00FC5932" w:rsidP="0098329C"/>
        </w:tc>
        <w:tc>
          <w:tcPr>
            <w:tcW w:w="6480" w:type="dxa"/>
            <w:tcBorders>
              <w:top w:val="single" w:sz="4" w:space="0" w:color="000000"/>
              <w:left w:val="single" w:sz="4" w:space="0" w:color="000000"/>
              <w:bottom w:val="single" w:sz="4" w:space="0" w:color="000000"/>
              <w:right w:val="single" w:sz="4" w:space="0" w:color="000000"/>
            </w:tcBorders>
          </w:tcPr>
          <w:p w:rsidR="00FC5932" w:rsidRPr="00F22E20" w:rsidRDefault="00FC5932" w:rsidP="0098329C">
            <w:pPr>
              <w:pStyle w:val="TableParagraph"/>
              <w:kinsoku w:val="0"/>
              <w:overflowPunct w:val="0"/>
              <w:spacing w:before="38"/>
              <w:ind w:left="103"/>
              <w:rPr>
                <w:rFonts w:ascii="Arial" w:hAnsi="Arial" w:cs="Arial"/>
              </w:rPr>
            </w:pPr>
            <w:r w:rsidRPr="00F22E20">
              <w:rPr>
                <w:rFonts w:ascii="Arial" w:hAnsi="Arial" w:cs="Arial"/>
                <w:sz w:val="22"/>
                <w:szCs w:val="22"/>
              </w:rPr>
              <w:t>Executive</w:t>
            </w:r>
            <w:r w:rsidRPr="00F22E20">
              <w:rPr>
                <w:rFonts w:ascii="Arial" w:hAnsi="Arial" w:cs="Arial"/>
                <w:spacing w:val="-4"/>
                <w:sz w:val="22"/>
                <w:szCs w:val="22"/>
              </w:rPr>
              <w:t xml:space="preserve"> </w:t>
            </w:r>
            <w:r w:rsidRPr="00F22E20">
              <w:rPr>
                <w:rFonts w:ascii="Arial" w:hAnsi="Arial" w:cs="Arial"/>
                <w:sz w:val="22"/>
                <w:szCs w:val="22"/>
              </w:rPr>
              <w:t>Summary</w:t>
            </w:r>
          </w:p>
        </w:tc>
        <w:tc>
          <w:tcPr>
            <w:tcW w:w="986" w:type="dxa"/>
            <w:tcBorders>
              <w:top w:val="single" w:sz="4" w:space="0" w:color="000000"/>
              <w:left w:val="single" w:sz="4" w:space="0" w:color="000000"/>
              <w:bottom w:val="single" w:sz="4" w:space="0" w:color="000000"/>
              <w:right w:val="single" w:sz="4" w:space="0" w:color="000000"/>
            </w:tcBorders>
          </w:tcPr>
          <w:p w:rsidR="00FC5932" w:rsidRDefault="00FC5932" w:rsidP="0098329C"/>
        </w:tc>
      </w:tr>
      <w:tr w:rsidR="00FC5932">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before="38"/>
              <w:ind w:right="1"/>
              <w:jc w:val="center"/>
            </w:pPr>
          </w:p>
        </w:tc>
        <w:tc>
          <w:tcPr>
            <w:tcW w:w="6480" w:type="dxa"/>
            <w:tcBorders>
              <w:top w:val="single" w:sz="4" w:space="0" w:color="000000"/>
              <w:left w:val="single" w:sz="4" w:space="0" w:color="000000"/>
              <w:bottom w:val="single" w:sz="4" w:space="0" w:color="000000"/>
              <w:right w:val="single" w:sz="4" w:space="0" w:color="000000"/>
            </w:tcBorders>
          </w:tcPr>
          <w:p w:rsidR="00FC5932" w:rsidRPr="00F22E20" w:rsidRDefault="00F22E20" w:rsidP="0098329C">
            <w:pPr>
              <w:pStyle w:val="TableParagraph"/>
              <w:kinsoku w:val="0"/>
              <w:overflowPunct w:val="0"/>
              <w:spacing w:before="38"/>
              <w:ind w:left="103"/>
              <w:rPr>
                <w:rFonts w:ascii="Arial" w:hAnsi="Arial" w:cs="Arial"/>
              </w:rPr>
            </w:pPr>
            <w:r w:rsidRPr="00F22E20">
              <w:rPr>
                <w:rFonts w:ascii="Arial" w:hAnsi="Arial" w:cs="Arial"/>
                <w:sz w:val="22"/>
              </w:rPr>
              <w:t>Policy Gateway</w:t>
            </w:r>
          </w:p>
        </w:tc>
        <w:tc>
          <w:tcPr>
            <w:tcW w:w="986" w:type="dxa"/>
            <w:tcBorders>
              <w:top w:val="single" w:sz="4" w:space="0" w:color="000000"/>
              <w:left w:val="single" w:sz="4" w:space="0" w:color="000000"/>
              <w:bottom w:val="single" w:sz="4" w:space="0" w:color="000000"/>
              <w:right w:val="single" w:sz="4" w:space="0" w:color="000000"/>
            </w:tcBorders>
          </w:tcPr>
          <w:p w:rsidR="00FC5932" w:rsidRDefault="00FC5932"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1</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Intro</w:t>
            </w:r>
            <w:r w:rsidRPr="00F22E20">
              <w:rPr>
                <w:rFonts w:ascii="Arial" w:hAnsi="Arial" w:cs="Arial"/>
                <w:sz w:val="22"/>
                <w:szCs w:val="22"/>
              </w:rPr>
              <w:t>d</w:t>
            </w:r>
            <w:r>
              <w:rPr>
                <w:rFonts w:ascii="Arial" w:hAnsi="Arial" w:cs="Arial"/>
                <w:sz w:val="22"/>
                <w:szCs w:val="22"/>
              </w:rPr>
              <w:t>uction</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2</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Purpose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3</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Definitions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4</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Scope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2"/>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5</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Roles and</w:t>
            </w:r>
            <w:r>
              <w:rPr>
                <w:rFonts w:ascii="Arial" w:hAnsi="Arial" w:cs="Arial"/>
                <w:spacing w:val="-7"/>
                <w:sz w:val="22"/>
                <w:szCs w:val="22"/>
              </w:rPr>
              <w:t xml:space="preserve"> </w:t>
            </w:r>
            <w:r>
              <w:rPr>
                <w:rFonts w:ascii="Arial" w:hAnsi="Arial" w:cs="Arial"/>
                <w:sz w:val="22"/>
                <w:szCs w:val="22"/>
              </w:rPr>
              <w:t>responsibilities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6</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Other headings as</w:t>
            </w:r>
            <w:r>
              <w:rPr>
                <w:rFonts w:ascii="Arial" w:hAnsi="Arial" w:cs="Arial"/>
                <w:spacing w:val="-8"/>
                <w:sz w:val="22"/>
                <w:szCs w:val="22"/>
              </w:rPr>
              <w:t xml:space="preserve"> </w:t>
            </w:r>
            <w:r>
              <w:rPr>
                <w:rFonts w:ascii="Arial" w:hAnsi="Arial" w:cs="Arial"/>
                <w:sz w:val="22"/>
                <w:szCs w:val="22"/>
              </w:rPr>
              <w:t>appropriate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7</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2"/>
            </w:pPr>
            <w:r>
              <w:rPr>
                <w:rFonts w:ascii="Arial" w:hAnsi="Arial" w:cs="Arial"/>
                <w:sz w:val="22"/>
                <w:szCs w:val="22"/>
              </w:rPr>
              <w:t>Implementation and</w:t>
            </w:r>
            <w:r>
              <w:rPr>
                <w:rFonts w:ascii="Arial" w:hAnsi="Arial" w:cs="Arial"/>
                <w:spacing w:val="-5"/>
                <w:sz w:val="22"/>
                <w:szCs w:val="22"/>
              </w:rPr>
              <w:t xml:space="preserve"> </w:t>
            </w:r>
            <w:r>
              <w:rPr>
                <w:rFonts w:ascii="Arial" w:hAnsi="Arial" w:cs="Arial"/>
                <w:sz w:val="22"/>
                <w:szCs w:val="22"/>
              </w:rPr>
              <w:t>dissemination</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8</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Monitoring</w:t>
            </w:r>
            <w:r>
              <w:rPr>
                <w:rFonts w:ascii="Arial" w:hAnsi="Arial" w:cs="Arial"/>
                <w:spacing w:val="-4"/>
                <w:sz w:val="22"/>
                <w:szCs w:val="22"/>
              </w:rPr>
              <w:t xml:space="preserve"> </w:t>
            </w:r>
            <w:r>
              <w:rPr>
                <w:rFonts w:ascii="Arial" w:hAnsi="Arial" w:cs="Arial"/>
                <w:sz w:val="22"/>
                <w:szCs w:val="22"/>
              </w:rPr>
              <w:t>compliance</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3"/>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w w:val="99"/>
                <w:sz w:val="22"/>
                <w:szCs w:val="22"/>
              </w:rPr>
              <w:t>9</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3"/>
            </w:pPr>
            <w:r>
              <w:rPr>
                <w:rFonts w:ascii="Arial" w:hAnsi="Arial" w:cs="Arial"/>
                <w:sz w:val="22"/>
                <w:szCs w:val="22"/>
              </w:rPr>
              <w:t>Associated</w:t>
            </w:r>
            <w:r>
              <w:rPr>
                <w:rFonts w:ascii="Arial" w:hAnsi="Arial" w:cs="Arial"/>
                <w:spacing w:val="-5"/>
                <w:sz w:val="22"/>
                <w:szCs w:val="22"/>
              </w:rPr>
              <w:t xml:space="preserve"> </w:t>
            </w:r>
            <w:r>
              <w:rPr>
                <w:rFonts w:ascii="Arial" w:hAnsi="Arial" w:cs="Arial"/>
                <w:sz w:val="22"/>
                <w:szCs w:val="22"/>
              </w:rPr>
              <w:t>documents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r w:rsidR="00F22E20">
        <w:trPr>
          <w:trHeight w:hRule="exact" w:val="342"/>
        </w:trPr>
        <w:tc>
          <w:tcPr>
            <w:tcW w:w="813"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right="1"/>
              <w:jc w:val="center"/>
            </w:pPr>
            <w:r>
              <w:rPr>
                <w:rFonts w:ascii="Arial" w:hAnsi="Arial" w:cs="Arial"/>
                <w:sz w:val="22"/>
                <w:szCs w:val="22"/>
              </w:rPr>
              <w:t>10</w:t>
            </w:r>
          </w:p>
        </w:tc>
        <w:tc>
          <w:tcPr>
            <w:tcW w:w="6480" w:type="dxa"/>
            <w:tcBorders>
              <w:top w:val="single" w:sz="4" w:space="0" w:color="000000"/>
              <w:left w:val="single" w:sz="4" w:space="0" w:color="000000"/>
              <w:bottom w:val="single" w:sz="4" w:space="0" w:color="000000"/>
              <w:right w:val="single" w:sz="4" w:space="0" w:color="000000"/>
            </w:tcBorders>
          </w:tcPr>
          <w:p w:rsidR="00F22E20" w:rsidRDefault="00F22E20" w:rsidP="00F22E20">
            <w:pPr>
              <w:pStyle w:val="TableParagraph"/>
              <w:kinsoku w:val="0"/>
              <w:overflowPunct w:val="0"/>
              <w:spacing w:before="38"/>
              <w:ind w:left="102"/>
            </w:pPr>
            <w:r>
              <w:rPr>
                <w:rFonts w:ascii="Arial" w:hAnsi="Arial" w:cs="Arial"/>
                <w:sz w:val="22"/>
                <w:szCs w:val="22"/>
              </w:rPr>
              <w:t>References</w:t>
            </w:r>
          </w:p>
        </w:tc>
        <w:tc>
          <w:tcPr>
            <w:tcW w:w="986" w:type="dxa"/>
            <w:tcBorders>
              <w:top w:val="single" w:sz="4" w:space="0" w:color="000000"/>
              <w:left w:val="single" w:sz="4" w:space="0" w:color="000000"/>
              <w:bottom w:val="single" w:sz="4" w:space="0" w:color="000000"/>
              <w:right w:val="single" w:sz="4" w:space="0" w:color="000000"/>
            </w:tcBorders>
          </w:tcPr>
          <w:p w:rsidR="00F22E20" w:rsidRDefault="00F22E20" w:rsidP="0098329C"/>
        </w:tc>
      </w:tr>
    </w:tbl>
    <w:p w:rsidR="00F22E20" w:rsidRDefault="00F22E20" w:rsidP="00FC5932"/>
    <w:p w:rsidR="00F22E20" w:rsidRDefault="00F22E20">
      <w:pPr>
        <w:widowControl/>
        <w:autoSpaceDE/>
        <w:autoSpaceDN/>
        <w:adjustRightInd/>
        <w:spacing w:after="200" w:line="276" w:lineRule="auto"/>
      </w:pPr>
      <w:r>
        <w:br w:type="page"/>
      </w:r>
    </w:p>
    <w:p w:rsidR="00FC5932" w:rsidRDefault="00FC5932" w:rsidP="00FC5932">
      <w:pPr>
        <w:sectPr w:rsidR="00FC5932">
          <w:pgSz w:w="11900" w:h="16840"/>
          <w:pgMar w:top="1400" w:right="1680" w:bottom="1060" w:left="1340" w:header="0" w:footer="878" w:gutter="0"/>
          <w:cols w:space="720" w:equalWidth="0">
            <w:col w:w="8880"/>
          </w:cols>
          <w:noEndnote/>
        </w:sectPr>
      </w:pPr>
    </w:p>
    <w:p w:rsidR="00F22E20" w:rsidRPr="00746254" w:rsidRDefault="00F22E20">
      <w:pPr>
        <w:widowControl/>
        <w:autoSpaceDE/>
        <w:autoSpaceDN/>
        <w:adjustRightInd/>
        <w:spacing w:after="200" w:line="276" w:lineRule="auto"/>
        <w:rPr>
          <w:rFonts w:ascii="Arial" w:hAnsi="Arial" w:cs="Arial"/>
          <w:b/>
          <w:bCs/>
          <w:sz w:val="26"/>
          <w:szCs w:val="26"/>
        </w:rPr>
      </w:pPr>
      <w:r w:rsidRPr="00746254">
        <w:rPr>
          <w:rFonts w:ascii="Arial" w:hAnsi="Arial" w:cs="Arial"/>
          <w:b/>
          <w:bCs/>
          <w:sz w:val="26"/>
          <w:szCs w:val="26"/>
        </w:rPr>
        <w:lastRenderedPageBreak/>
        <w:t>Policy Gateway</w:t>
      </w:r>
    </w:p>
    <w:p w:rsidR="00746254" w:rsidRDefault="00746254">
      <w:pPr>
        <w:widowControl/>
        <w:autoSpaceDE/>
        <w:autoSpaceDN/>
        <w:adjustRightInd/>
        <w:spacing w:after="200" w:line="276" w:lineRule="auto"/>
        <w:rPr>
          <w:rFonts w:ascii="Arial" w:hAnsi="Arial" w:cs="Arial"/>
          <w:bCs/>
          <w:szCs w:val="26"/>
        </w:rPr>
      </w:pPr>
      <w:r w:rsidRPr="00746254">
        <w:rPr>
          <w:rFonts w:ascii="Arial" w:hAnsi="Arial" w:cs="Arial"/>
          <w:bCs/>
          <w:szCs w:val="26"/>
        </w:rPr>
        <w:t>Please complete the checklist and tables below to provide assurance around the policy review process</w:t>
      </w:r>
      <w:r>
        <w:rPr>
          <w:rFonts w:ascii="Arial" w:hAnsi="Arial" w:cs="Arial"/>
          <w:bCs/>
          <w:szCs w:val="26"/>
        </w:rPr>
        <w:t>.</w:t>
      </w:r>
    </w:p>
    <w:p w:rsidR="00746254" w:rsidRPr="00BC7323" w:rsidRDefault="00746254" w:rsidP="00746254">
      <w:pPr>
        <w:rPr>
          <w:rFonts w:asciiTheme="minorHAnsi" w:hAnsiTheme="minorHAnsi" w:cs="Andalus"/>
        </w:rPr>
      </w:pPr>
    </w:p>
    <w:tbl>
      <w:tblPr>
        <w:tblW w:w="9478"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78"/>
      </w:tblGrid>
      <w:tr w:rsidR="00746254" w:rsidRPr="00BC7323">
        <w:trPr>
          <w:trHeight w:val="2847"/>
        </w:trPr>
        <w:tc>
          <w:tcPr>
            <w:tcW w:w="9478" w:type="dxa"/>
          </w:tcPr>
          <w:p w:rsidR="00746254" w:rsidRDefault="00746254" w:rsidP="00DA1DCF">
            <w:pPr>
              <w:rPr>
                <w:rFonts w:ascii="Arial" w:hAnsi="Arial" w:cs="Arial"/>
              </w:rPr>
            </w:pPr>
          </w:p>
          <w:p w:rsidR="00746254" w:rsidRPr="00746254" w:rsidRDefault="00487880" w:rsidP="00DA1DCF">
            <w:pPr>
              <w:rPr>
                <w:rFonts w:ascii="Arial" w:hAnsi="Arial" w:cs="Arial"/>
              </w:rPr>
            </w:pPr>
            <w:sdt>
              <w:sdtPr>
                <w:rPr>
                  <w:rFonts w:ascii="Arial" w:hAnsi="Arial" w:cs="Arial"/>
                  <w:sz w:val="22"/>
                </w:rPr>
                <w:id w:val="-440305317"/>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w:t>
            </w:r>
            <w:r w:rsidR="00746254" w:rsidRPr="00746254">
              <w:rPr>
                <w:rFonts w:ascii="Arial" w:hAnsi="Arial" w:cs="Arial"/>
                <w:sz w:val="22"/>
              </w:rPr>
              <w:t xml:space="preserve"> </w:t>
            </w:r>
            <w:r w:rsidR="00746254">
              <w:rPr>
                <w:rFonts w:ascii="Arial" w:hAnsi="Arial" w:cs="Arial"/>
                <w:sz w:val="22"/>
              </w:rPr>
              <w:t>involved everyone who should be consulted about this policy/guidance</w:t>
            </w:r>
          </w:p>
          <w:p w:rsidR="00746254" w:rsidRPr="00746254" w:rsidRDefault="00746254" w:rsidP="00DA1DCF">
            <w:pPr>
              <w:pStyle w:val="ListParagraph"/>
              <w:ind w:left="360"/>
              <w:rPr>
                <w:rFonts w:ascii="Arial" w:hAnsi="Arial" w:cs="Arial"/>
              </w:rPr>
            </w:pPr>
          </w:p>
          <w:p w:rsidR="00746254" w:rsidRPr="00746254" w:rsidRDefault="00487880" w:rsidP="00DA1DCF">
            <w:pPr>
              <w:rPr>
                <w:rFonts w:ascii="Arial" w:hAnsi="Arial" w:cs="Arial"/>
              </w:rPr>
            </w:pPr>
            <w:sdt>
              <w:sdtPr>
                <w:rPr>
                  <w:rFonts w:ascii="Arial" w:hAnsi="Arial" w:cs="Arial"/>
                  <w:sz w:val="22"/>
                </w:rPr>
                <w:id w:val="-682132006"/>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 identified the</w:t>
            </w:r>
            <w:r w:rsidR="00746254" w:rsidRPr="00746254">
              <w:rPr>
                <w:rFonts w:ascii="Arial" w:hAnsi="Arial" w:cs="Arial"/>
                <w:sz w:val="22"/>
              </w:rPr>
              <w:t xml:space="preserve"> target audience for </w:t>
            </w:r>
            <w:r w:rsidR="00746254">
              <w:rPr>
                <w:rFonts w:ascii="Arial" w:hAnsi="Arial" w:cs="Arial"/>
                <w:sz w:val="22"/>
              </w:rPr>
              <w:t>this policy/guidance</w:t>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p>
          <w:p w:rsidR="00746254" w:rsidRPr="00746254" w:rsidRDefault="00746254" w:rsidP="00DA1DCF">
            <w:pPr>
              <w:rPr>
                <w:rFonts w:ascii="Arial" w:hAnsi="Arial" w:cs="Arial"/>
              </w:rPr>
            </w:pPr>
          </w:p>
          <w:p w:rsidR="00746254" w:rsidRPr="00746254" w:rsidRDefault="00487880" w:rsidP="00DA1DCF">
            <w:pPr>
              <w:rPr>
                <w:rFonts w:ascii="Arial" w:hAnsi="Arial" w:cs="Arial"/>
              </w:rPr>
            </w:pPr>
            <w:sdt>
              <w:sdtPr>
                <w:rPr>
                  <w:rFonts w:ascii="Arial" w:hAnsi="Arial" w:cs="Arial"/>
                  <w:sz w:val="22"/>
                </w:rPr>
                <w:id w:val="1239756543"/>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 completed the correct template fully and properly</w:t>
            </w:r>
          </w:p>
          <w:p w:rsidR="00746254" w:rsidRPr="00746254" w:rsidRDefault="00746254" w:rsidP="00DA1DCF">
            <w:pPr>
              <w:pStyle w:val="ListParagraph"/>
              <w:rPr>
                <w:rFonts w:ascii="Arial" w:hAnsi="Arial" w:cs="Arial"/>
              </w:rPr>
            </w:pPr>
          </w:p>
          <w:p w:rsidR="00746254" w:rsidRPr="00746254" w:rsidRDefault="00487880" w:rsidP="00DA1DCF">
            <w:pPr>
              <w:rPr>
                <w:rFonts w:ascii="Arial" w:hAnsi="Arial" w:cs="Arial"/>
              </w:rPr>
            </w:pPr>
            <w:sdt>
              <w:sdtPr>
                <w:rPr>
                  <w:rFonts w:ascii="Arial" w:hAnsi="Arial" w:cs="Arial"/>
                  <w:sz w:val="22"/>
                </w:rPr>
                <w:id w:val="-1655520743"/>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I have identified the correct approval route for this policy/guidance</w:t>
            </w:r>
            <w:r w:rsidR="00746254" w:rsidRPr="00746254">
              <w:rPr>
                <w:rFonts w:ascii="Arial" w:hAnsi="Arial" w:cs="Arial"/>
                <w:sz w:val="22"/>
              </w:rPr>
              <w:tab/>
            </w:r>
            <w:r w:rsidR="00746254" w:rsidRPr="00746254">
              <w:rPr>
                <w:rFonts w:ascii="Arial" w:hAnsi="Arial" w:cs="Arial"/>
                <w:sz w:val="22"/>
              </w:rPr>
              <w:tab/>
            </w:r>
          </w:p>
          <w:p w:rsidR="00746254" w:rsidRPr="00746254" w:rsidRDefault="00746254" w:rsidP="00DA1DCF">
            <w:pPr>
              <w:ind w:firstLine="5760"/>
              <w:rPr>
                <w:rFonts w:ascii="Arial" w:hAnsi="Arial" w:cs="Arial"/>
              </w:rPr>
            </w:pPr>
          </w:p>
          <w:p w:rsidR="00746254" w:rsidRPr="00BC7323" w:rsidRDefault="00487880" w:rsidP="00746254">
            <w:pPr>
              <w:rPr>
                <w:rFonts w:asciiTheme="minorHAnsi" w:hAnsiTheme="minorHAnsi" w:cs="Andalus"/>
              </w:rPr>
            </w:pPr>
            <w:sdt>
              <w:sdtPr>
                <w:rPr>
                  <w:rFonts w:ascii="Arial" w:hAnsi="Arial" w:cs="Arial"/>
                  <w:sz w:val="22"/>
                </w:rPr>
                <w:id w:val="1450054819"/>
              </w:sdtPr>
              <w:sdtEndPr/>
              <w:sdtContent>
                <w:r w:rsidR="00937BAF">
                  <w:rPr>
                    <w:rFonts w:ascii="Apple Symbols" w:eastAsia="Meiryo" w:hAnsi="Apple Symbols" w:cs="Apple Symbols"/>
                    <w:sz w:val="22"/>
                  </w:rPr>
                  <w:t>☒</w:t>
                </w:r>
              </w:sdtContent>
            </w:sdt>
            <w:r w:rsidR="00746254" w:rsidRPr="00746254">
              <w:rPr>
                <w:rFonts w:ascii="Arial" w:hAnsi="Arial" w:cs="Arial"/>
                <w:sz w:val="22"/>
              </w:rPr>
              <w:t xml:space="preserve">  </w:t>
            </w:r>
            <w:r w:rsidR="00746254">
              <w:rPr>
                <w:rFonts w:ascii="Arial" w:hAnsi="Arial" w:cs="Arial"/>
                <w:sz w:val="22"/>
              </w:rPr>
              <w:t xml:space="preserve">I have saved </w:t>
            </w:r>
            <w:r w:rsidR="00746254" w:rsidRPr="00746254">
              <w:rPr>
                <w:rFonts w:ascii="Arial" w:hAnsi="Arial" w:cs="Arial"/>
                <w:sz w:val="22"/>
              </w:rPr>
              <w:t>a word version of th</w:t>
            </w:r>
            <w:r w:rsidR="00746254">
              <w:rPr>
                <w:rFonts w:ascii="Arial" w:hAnsi="Arial" w:cs="Arial"/>
                <w:sz w:val="22"/>
              </w:rPr>
              <w:t>is</w:t>
            </w:r>
            <w:r w:rsidR="00746254" w:rsidRPr="00746254">
              <w:rPr>
                <w:rFonts w:ascii="Arial" w:hAnsi="Arial" w:cs="Arial"/>
                <w:sz w:val="22"/>
              </w:rPr>
              <w:t xml:space="preserve"> policy</w:t>
            </w:r>
            <w:r w:rsidR="00746254">
              <w:rPr>
                <w:rFonts w:ascii="Arial" w:hAnsi="Arial" w:cs="Arial"/>
                <w:sz w:val="22"/>
              </w:rPr>
              <w:t xml:space="preserve">/guidance </w:t>
            </w:r>
            <w:r w:rsidR="00746254" w:rsidRPr="00746254">
              <w:rPr>
                <w:rFonts w:ascii="Arial" w:hAnsi="Arial" w:cs="Arial"/>
                <w:sz w:val="22"/>
              </w:rPr>
              <w:t>for future</w:t>
            </w:r>
            <w:r w:rsidR="00746254">
              <w:rPr>
                <w:rFonts w:ascii="Arial" w:hAnsi="Arial" w:cs="Arial"/>
                <w:sz w:val="22"/>
              </w:rPr>
              <w:t xml:space="preserve"> reviews and reference</w:t>
            </w:r>
            <w:r w:rsidR="00746254" w:rsidRPr="00746254">
              <w:rPr>
                <w:rFonts w:ascii="Arial" w:hAnsi="Arial" w:cs="Arial"/>
                <w:sz w:val="22"/>
              </w:rPr>
              <w:tab/>
            </w:r>
            <w:r w:rsidR="00746254" w:rsidRPr="00746254">
              <w:rPr>
                <w:rFonts w:ascii="Arial" w:hAnsi="Arial" w:cs="Arial"/>
                <w:sz w:val="22"/>
              </w:rPr>
              <w:tab/>
              <w:t xml:space="preserve">              </w:t>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sidRPr="00746254">
              <w:rPr>
                <w:rFonts w:ascii="Arial" w:hAnsi="Arial" w:cs="Arial"/>
                <w:sz w:val="22"/>
              </w:rPr>
              <w:tab/>
            </w:r>
            <w:r w:rsidR="00746254">
              <w:rPr>
                <w:rFonts w:asciiTheme="minorHAnsi" w:hAnsiTheme="minorHAnsi" w:cs="Andalus"/>
              </w:rPr>
              <w:tab/>
            </w:r>
            <w:r w:rsidR="00746254">
              <w:rPr>
                <w:rFonts w:asciiTheme="minorHAnsi" w:hAnsiTheme="minorHAnsi" w:cs="Andalus"/>
              </w:rPr>
              <w:tab/>
            </w:r>
            <w:r w:rsidR="00746254">
              <w:rPr>
                <w:rFonts w:asciiTheme="minorHAnsi" w:hAnsiTheme="minorHAnsi" w:cs="Andalus"/>
              </w:rPr>
              <w:tab/>
            </w:r>
          </w:p>
        </w:tc>
      </w:tr>
    </w:tbl>
    <w:p w:rsidR="00746254" w:rsidRPr="00C96A81" w:rsidRDefault="00746254" w:rsidP="00746254">
      <w:pPr>
        <w:rPr>
          <w:rFonts w:ascii="Arial" w:hAnsi="Arial" w:cs="Arial"/>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C96A81" w:rsidRDefault="00746254" w:rsidP="00746254">
            <w:pPr>
              <w:rPr>
                <w:rFonts w:ascii="Arial" w:hAnsi="Arial" w:cs="Arial"/>
              </w:rPr>
            </w:pPr>
            <w:r w:rsidRPr="00C96A81">
              <w:rPr>
                <w:rFonts w:ascii="Arial" w:hAnsi="Arial" w:cs="Arial"/>
              </w:rPr>
              <w:t>Please set out what makes you an appropriate person to conduct this review:</w:t>
            </w:r>
          </w:p>
        </w:tc>
      </w:tr>
      <w:tr w:rsidR="00746254" w:rsidRPr="00C96A81">
        <w:tc>
          <w:tcPr>
            <w:tcW w:w="9498" w:type="dxa"/>
          </w:tcPr>
          <w:p w:rsidR="00746254" w:rsidRPr="00C96A81" w:rsidRDefault="00676827" w:rsidP="00746254">
            <w:pPr>
              <w:rPr>
                <w:rFonts w:ascii="Arial" w:hAnsi="Arial" w:cs="Arial"/>
              </w:rPr>
            </w:pPr>
            <w:r>
              <w:rPr>
                <w:rFonts w:ascii="Arial" w:hAnsi="Arial" w:cs="Arial"/>
              </w:rPr>
              <w:t xml:space="preserve">Consultant for Adult </w:t>
            </w:r>
            <w:proofErr w:type="spellStart"/>
            <w:r>
              <w:rPr>
                <w:rFonts w:ascii="Arial" w:hAnsi="Arial" w:cs="Arial"/>
              </w:rPr>
              <w:t>Haemoglobinopathy</w:t>
            </w:r>
            <w:proofErr w:type="spellEnd"/>
            <w:r>
              <w:rPr>
                <w:rFonts w:ascii="Arial" w:hAnsi="Arial" w:cs="Arial"/>
              </w:rPr>
              <w:t xml:space="preserve"> service</w:t>
            </w:r>
          </w:p>
        </w:tc>
      </w:tr>
    </w:tbl>
    <w:p w:rsidR="00746254" w:rsidRPr="00C96A81" w:rsidRDefault="00746254" w:rsidP="00746254">
      <w:pPr>
        <w:rPr>
          <w:rFonts w:ascii="Arial" w:hAnsi="Arial" w:cs="Arial"/>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C96A81" w:rsidRDefault="00C96A81" w:rsidP="00746254">
            <w:pPr>
              <w:rPr>
                <w:rFonts w:ascii="Arial" w:hAnsi="Arial" w:cs="Arial"/>
              </w:rPr>
            </w:pPr>
            <w:r w:rsidRPr="00C96A81">
              <w:rPr>
                <w:rFonts w:ascii="Arial" w:hAnsi="Arial" w:cs="Arial"/>
              </w:rPr>
              <w:t>Please set out the legislation, guidance and best practice you consulted for this review:</w:t>
            </w:r>
          </w:p>
        </w:tc>
      </w:tr>
      <w:tr w:rsidR="00746254" w:rsidRPr="00C96A81">
        <w:tc>
          <w:tcPr>
            <w:tcW w:w="9498" w:type="dxa"/>
          </w:tcPr>
          <w:p w:rsidR="00423D50" w:rsidRDefault="00423D50" w:rsidP="00423D50">
            <w:pPr>
              <w:pStyle w:val="Default"/>
              <w:numPr>
                <w:ilvl w:val="0"/>
                <w:numId w:val="14"/>
              </w:numPr>
              <w:rPr>
                <w:rFonts w:ascii="Arial" w:hAnsi="Arial" w:cs="Arial"/>
                <w:sz w:val="22"/>
                <w:szCs w:val="22"/>
              </w:rPr>
            </w:pPr>
            <w:r w:rsidRPr="009679C6">
              <w:rPr>
                <w:rFonts w:ascii="Arial" w:hAnsi="Arial" w:cs="Arial"/>
                <w:sz w:val="22"/>
                <w:szCs w:val="22"/>
              </w:rPr>
              <w:t xml:space="preserve">West Midlands Review Service – Quality Standards: Health Services for People with Haemoglobin Disorders (2018/19) </w:t>
            </w:r>
          </w:p>
          <w:p w:rsidR="00423D50" w:rsidRPr="009679C6" w:rsidRDefault="00423D50" w:rsidP="00423D50">
            <w:pPr>
              <w:pStyle w:val="Default"/>
              <w:ind w:left="720"/>
              <w:rPr>
                <w:rFonts w:ascii="Arial" w:hAnsi="Arial" w:cs="Arial"/>
                <w:sz w:val="22"/>
                <w:szCs w:val="22"/>
              </w:rPr>
            </w:pPr>
          </w:p>
          <w:p w:rsidR="00423D50" w:rsidRDefault="00423D50" w:rsidP="00423D50">
            <w:pPr>
              <w:pStyle w:val="Default"/>
              <w:numPr>
                <w:ilvl w:val="0"/>
                <w:numId w:val="14"/>
              </w:numPr>
              <w:rPr>
                <w:rFonts w:ascii="Arial" w:hAnsi="Arial" w:cs="Arial"/>
                <w:sz w:val="22"/>
                <w:szCs w:val="22"/>
              </w:rPr>
            </w:pPr>
            <w:r w:rsidRPr="009679C6">
              <w:rPr>
                <w:rFonts w:ascii="Arial" w:hAnsi="Arial" w:cs="Arial"/>
                <w:sz w:val="22"/>
                <w:szCs w:val="22"/>
              </w:rPr>
              <w:t>Standards for the Clinical Care of</w:t>
            </w:r>
            <w:r w:rsidR="00B03451">
              <w:rPr>
                <w:rFonts w:ascii="Arial" w:hAnsi="Arial" w:cs="Arial"/>
                <w:sz w:val="22"/>
                <w:szCs w:val="22"/>
              </w:rPr>
              <w:t xml:space="preserve"> </w:t>
            </w:r>
            <w:r w:rsidRPr="009679C6">
              <w:rPr>
                <w:rFonts w:ascii="Arial" w:hAnsi="Arial" w:cs="Arial"/>
                <w:sz w:val="22"/>
                <w:szCs w:val="22"/>
              </w:rPr>
              <w:t xml:space="preserve">Adults with Sickle Cell Disease in the UK 2018 (Sickle Cell Society) </w:t>
            </w:r>
            <w:hyperlink r:id="rId10" w:history="1">
              <w:r w:rsidRPr="009679C6">
                <w:rPr>
                  <w:rStyle w:val="Hyperlink"/>
                  <w:rFonts w:ascii="Arial" w:hAnsi="Arial" w:cs="Arial"/>
                  <w:sz w:val="22"/>
                  <w:szCs w:val="22"/>
                </w:rPr>
                <w:t>https://www.sicklecellsociety.org/wp-content/uploads/2018/04/Web-version-FINAL-SCS-Standards-GSM-6.4.18.pdf</w:t>
              </w:r>
            </w:hyperlink>
            <w:r w:rsidRPr="009679C6">
              <w:rPr>
                <w:rFonts w:ascii="Arial" w:hAnsi="Arial" w:cs="Arial"/>
                <w:sz w:val="22"/>
                <w:szCs w:val="22"/>
              </w:rPr>
              <w:t xml:space="preserve"> </w:t>
            </w:r>
          </w:p>
          <w:p w:rsidR="00423D50" w:rsidRPr="009679C6" w:rsidRDefault="00423D50" w:rsidP="00423D50">
            <w:pPr>
              <w:pStyle w:val="Default"/>
              <w:rPr>
                <w:rFonts w:ascii="Arial" w:hAnsi="Arial" w:cs="Arial"/>
                <w:sz w:val="22"/>
                <w:szCs w:val="22"/>
              </w:rPr>
            </w:pPr>
          </w:p>
          <w:p w:rsidR="00423D50" w:rsidRPr="00FE5F60" w:rsidRDefault="00423D50" w:rsidP="00423D50">
            <w:pPr>
              <w:pStyle w:val="ListParagraph"/>
              <w:numPr>
                <w:ilvl w:val="0"/>
                <w:numId w:val="14"/>
              </w:numPr>
              <w:rPr>
                <w:rFonts w:ascii="Arial" w:hAnsi="Arial" w:cs="Arial"/>
              </w:rPr>
            </w:pPr>
            <w:r w:rsidRPr="009679C6">
              <w:rPr>
                <w:rFonts w:ascii="Arial" w:hAnsi="Arial" w:cs="Arial"/>
              </w:rPr>
              <w:t xml:space="preserve">British Society Haematology : guidelines </w:t>
            </w:r>
            <w:r w:rsidRPr="009679C6">
              <w:rPr>
                <w:rFonts w:ascii="Arial" w:hAnsi="Arial" w:cs="Arial"/>
                <w:color w:val="000000"/>
              </w:rPr>
              <w:t xml:space="preserve">Red Cell Transfusion in Sickle Cell Disease Part I and Part II (7.11.17 and 18.11.18) </w:t>
            </w:r>
            <w:hyperlink r:id="rId11" w:history="1">
              <w:r w:rsidRPr="009679C6">
                <w:rPr>
                  <w:rStyle w:val="Hyperlink"/>
                  <w:rFonts w:ascii="Arial" w:hAnsi="Arial" w:cs="Arial"/>
                </w:rPr>
                <w:t>https://b-s-h.org.uk/guidelines/guidelines/red-cell-transfusion-in-sickle-cell-disease-part-l/</w:t>
              </w:r>
            </w:hyperlink>
            <w:r w:rsidRPr="009679C6">
              <w:rPr>
                <w:rFonts w:ascii="Arial" w:hAnsi="Arial" w:cs="Arial"/>
                <w:color w:val="000000"/>
              </w:rPr>
              <w:t xml:space="preserve"> </w:t>
            </w:r>
          </w:p>
          <w:p w:rsidR="00423D50" w:rsidRPr="009679C6" w:rsidRDefault="00423D50" w:rsidP="00423D50">
            <w:pPr>
              <w:pStyle w:val="ListParagraph"/>
              <w:ind w:left="720"/>
              <w:rPr>
                <w:rFonts w:ascii="Arial" w:hAnsi="Arial" w:cs="Arial"/>
              </w:rPr>
            </w:pPr>
          </w:p>
          <w:p w:rsidR="00746254" w:rsidRPr="00C96A81" w:rsidRDefault="00746254" w:rsidP="00423D50">
            <w:pPr>
              <w:rPr>
                <w:rFonts w:ascii="Arial" w:hAnsi="Arial" w:cs="Arial"/>
              </w:rPr>
            </w:pPr>
          </w:p>
        </w:tc>
      </w:tr>
    </w:tbl>
    <w:p w:rsidR="00746254" w:rsidRPr="00C96A81" w:rsidRDefault="00746254" w:rsidP="00746254">
      <w:pPr>
        <w:widowControl/>
        <w:autoSpaceDE/>
        <w:autoSpaceDN/>
        <w:adjustRightInd/>
        <w:rPr>
          <w:b/>
          <w:bCs/>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842278" w:rsidRDefault="00746254" w:rsidP="00746254">
            <w:pPr>
              <w:rPr>
                <w:rFonts w:ascii="Arial" w:hAnsi="Arial" w:cs="Arial"/>
              </w:rPr>
            </w:pPr>
            <w:r w:rsidRPr="00842278">
              <w:rPr>
                <w:rFonts w:ascii="Arial" w:hAnsi="Arial" w:cs="Arial"/>
              </w:rPr>
              <w:t>Please identify the key people you involved in reviewing this policy why, and when:</w:t>
            </w:r>
          </w:p>
        </w:tc>
      </w:tr>
      <w:tr w:rsidR="00746254" w:rsidRPr="00A02639">
        <w:tc>
          <w:tcPr>
            <w:tcW w:w="9498" w:type="dxa"/>
          </w:tcPr>
          <w:p w:rsidR="00842278" w:rsidRPr="00842278" w:rsidRDefault="00842278" w:rsidP="00842278">
            <w:pPr>
              <w:pStyle w:val="ListParagraph"/>
              <w:numPr>
                <w:ilvl w:val="0"/>
                <w:numId w:val="35"/>
              </w:numPr>
              <w:rPr>
                <w:rFonts w:ascii="Arial" w:hAnsi="Arial" w:cs="Arial"/>
              </w:rPr>
            </w:pPr>
            <w:r w:rsidRPr="00842278">
              <w:rPr>
                <w:rFonts w:ascii="Arial" w:hAnsi="Arial" w:cs="Arial"/>
              </w:rPr>
              <w:t>Kelly Feane – Lead Transfusion Practitioner</w:t>
            </w:r>
          </w:p>
        </w:tc>
      </w:tr>
    </w:tbl>
    <w:p w:rsidR="00746254" w:rsidRPr="00A02639" w:rsidRDefault="00746254" w:rsidP="00746254">
      <w:pPr>
        <w:widowControl/>
        <w:autoSpaceDE/>
        <w:autoSpaceDN/>
        <w:adjustRightInd/>
        <w:rPr>
          <w:b/>
          <w:bCs/>
          <w:color w:val="FFFF00"/>
          <w:sz w:val="22"/>
          <w:szCs w:val="22"/>
        </w:rPr>
      </w:pPr>
    </w:p>
    <w:tbl>
      <w:tblPr>
        <w:tblStyle w:val="TableGrid"/>
        <w:tblW w:w="9498" w:type="dxa"/>
        <w:tblInd w:w="-176" w:type="dxa"/>
        <w:tblLook w:val="04A0" w:firstRow="1" w:lastRow="0" w:firstColumn="1" w:lastColumn="0" w:noHBand="0" w:noVBand="1"/>
      </w:tblPr>
      <w:tblGrid>
        <w:gridCol w:w="9498"/>
      </w:tblGrid>
      <w:tr w:rsidR="00746254" w:rsidRPr="00C96A81">
        <w:tc>
          <w:tcPr>
            <w:tcW w:w="9498" w:type="dxa"/>
          </w:tcPr>
          <w:p w:rsidR="00746254" w:rsidRPr="00C96A81" w:rsidRDefault="00746254" w:rsidP="00DA1DCF">
            <w:pPr>
              <w:rPr>
                <w:rFonts w:ascii="Arial" w:hAnsi="Arial" w:cs="Arial"/>
              </w:rPr>
            </w:pPr>
            <w:r w:rsidRPr="00C96A81">
              <w:rPr>
                <w:rFonts w:ascii="Arial" w:hAnsi="Arial" w:cs="Arial"/>
              </w:rPr>
              <w:t>Summarise the key changes you have made and why:</w:t>
            </w:r>
          </w:p>
        </w:tc>
      </w:tr>
      <w:tr w:rsidR="00746254" w:rsidRPr="00C96A81">
        <w:tc>
          <w:tcPr>
            <w:tcW w:w="9498" w:type="dxa"/>
          </w:tcPr>
          <w:p w:rsidR="00423D50" w:rsidRDefault="00423D50" w:rsidP="00423D50">
            <w:pPr>
              <w:rPr>
                <w:rFonts w:ascii="Arial" w:hAnsi="Arial" w:cs="Arial"/>
              </w:rPr>
            </w:pPr>
            <w:r>
              <w:rPr>
                <w:rFonts w:ascii="Arial" w:hAnsi="Arial" w:cs="Arial"/>
              </w:rPr>
              <w:t xml:space="preserve">Updates in line with the UK standards of care for SCD </w:t>
            </w:r>
          </w:p>
          <w:p w:rsidR="00746254" w:rsidRDefault="00423D50" w:rsidP="00423D50">
            <w:pPr>
              <w:rPr>
                <w:rFonts w:ascii="Arial" w:hAnsi="Arial" w:cs="Arial"/>
              </w:rPr>
            </w:pPr>
            <w:r>
              <w:rPr>
                <w:rFonts w:ascii="Arial" w:hAnsi="Arial" w:cs="Arial"/>
              </w:rPr>
              <w:t>Updated contact details</w:t>
            </w:r>
          </w:p>
          <w:p w:rsidR="00B3284E" w:rsidRPr="00C96A81" w:rsidRDefault="00B3284E" w:rsidP="00423D50">
            <w:pPr>
              <w:rPr>
                <w:rFonts w:ascii="Arial" w:hAnsi="Arial" w:cs="Arial"/>
              </w:rPr>
            </w:pPr>
            <w:r>
              <w:rPr>
                <w:rFonts w:ascii="Arial" w:hAnsi="Arial" w:cs="Arial"/>
              </w:rPr>
              <w:t>V3.1 February 2020 – Formatting update predominantly</w:t>
            </w:r>
          </w:p>
        </w:tc>
      </w:tr>
    </w:tbl>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b/>
          <w:bCs/>
          <w:sz w:val="26"/>
          <w:szCs w:val="26"/>
        </w:rPr>
      </w:pPr>
    </w:p>
    <w:p w:rsidR="00746254" w:rsidRDefault="00746254">
      <w:pPr>
        <w:widowControl/>
        <w:autoSpaceDE/>
        <w:autoSpaceDN/>
        <w:adjustRightInd/>
        <w:spacing w:after="200" w:line="276" w:lineRule="auto"/>
        <w:rPr>
          <w:rFonts w:ascii="Arial" w:hAnsi="Arial" w:cs="Arial"/>
          <w:b/>
          <w:bCs/>
          <w:sz w:val="26"/>
          <w:szCs w:val="26"/>
        </w:rPr>
      </w:pPr>
      <w:r>
        <w:rPr>
          <w:b/>
          <w:bCs/>
          <w:sz w:val="26"/>
          <w:szCs w:val="26"/>
        </w:rPr>
        <w:br w:type="page"/>
      </w:r>
    </w:p>
    <w:p w:rsidR="00FC5932" w:rsidRPr="00374469" w:rsidRDefault="00FC5932" w:rsidP="00746254">
      <w:pPr>
        <w:pStyle w:val="BodyText"/>
        <w:kinsoku w:val="0"/>
        <w:overflowPunct w:val="0"/>
        <w:spacing w:before="38"/>
        <w:ind w:left="0" w:right="873"/>
        <w:rPr>
          <w:b/>
          <w:bCs/>
        </w:rPr>
      </w:pPr>
      <w:r w:rsidRPr="002D16C0">
        <w:rPr>
          <w:b/>
          <w:bCs/>
        </w:rPr>
        <w:lastRenderedPageBreak/>
        <w:t>Executive</w:t>
      </w:r>
      <w:r w:rsidRPr="002D16C0">
        <w:rPr>
          <w:b/>
          <w:bCs/>
          <w:spacing w:val="-14"/>
        </w:rPr>
        <w:t xml:space="preserve"> </w:t>
      </w:r>
      <w:r w:rsidRPr="002D16C0">
        <w:rPr>
          <w:b/>
          <w:bCs/>
        </w:rPr>
        <w:t>Summary</w:t>
      </w:r>
    </w:p>
    <w:p w:rsidR="00374469" w:rsidRPr="00374469" w:rsidRDefault="00374469" w:rsidP="00746254">
      <w:pPr>
        <w:pStyle w:val="BodyText"/>
        <w:kinsoku w:val="0"/>
        <w:overflowPunct w:val="0"/>
        <w:spacing w:before="38"/>
        <w:ind w:left="0" w:right="873"/>
      </w:pPr>
    </w:p>
    <w:p w:rsidR="00FC5932" w:rsidRPr="00B03451" w:rsidRDefault="002D16C0" w:rsidP="002D16C0">
      <w:pPr>
        <w:pStyle w:val="BodyText"/>
        <w:kinsoku w:val="0"/>
        <w:overflowPunct w:val="0"/>
        <w:spacing w:before="55"/>
        <w:ind w:left="0" w:right="2136"/>
        <w:jc w:val="both"/>
      </w:pPr>
      <w:r>
        <w:t xml:space="preserve">Transfusion in patients with Sickle Cell Disease (SCD) and </w:t>
      </w:r>
      <w:proofErr w:type="spellStart"/>
      <w:r>
        <w:t>thalassaemia</w:t>
      </w:r>
      <w:proofErr w:type="spellEnd"/>
      <w:r>
        <w:t xml:space="preserve"> is increasing rapidly across the UK but with variability in indications and lack of robust evidence in many cases. Guidance is now issued by both the British Standards of Haematology (2016) and from the Standards of Clinical Care for adult patients with SCD in the UK. These guidelines describe the indications, management and process (including safety and selection) for blood transfusion in SCD and </w:t>
      </w:r>
      <w:proofErr w:type="spellStart"/>
      <w:r>
        <w:t>thalassaemia</w:t>
      </w:r>
      <w:proofErr w:type="spellEnd"/>
      <w:r>
        <w:t xml:space="preserve">. </w:t>
      </w:r>
    </w:p>
    <w:p w:rsidR="00B03451" w:rsidRPr="00B03451" w:rsidRDefault="00B03451" w:rsidP="00FC5932">
      <w:pPr>
        <w:pStyle w:val="BodyText"/>
        <w:kinsoku w:val="0"/>
        <w:overflowPunct w:val="0"/>
        <w:spacing w:before="55"/>
        <w:ind w:left="0" w:right="2136"/>
      </w:pPr>
    </w:p>
    <w:p w:rsidR="00B03451" w:rsidRP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B03451" w:rsidRDefault="00B03451" w:rsidP="00FC5932">
      <w:pPr>
        <w:pStyle w:val="BodyText"/>
        <w:kinsoku w:val="0"/>
        <w:overflowPunct w:val="0"/>
        <w:spacing w:before="55"/>
        <w:ind w:left="0" w:right="2136"/>
      </w:pPr>
    </w:p>
    <w:p w:rsidR="007C4CC5" w:rsidRPr="007C4CC5" w:rsidRDefault="007C4CC5" w:rsidP="007C4CC5"/>
    <w:p w:rsidR="00802AE5" w:rsidRDefault="00802AE5">
      <w:pPr>
        <w:widowControl/>
        <w:autoSpaceDE/>
        <w:autoSpaceDN/>
        <w:adjustRightInd/>
        <w:spacing w:after="200" w:line="276" w:lineRule="auto"/>
        <w:rPr>
          <w:rFonts w:ascii="Arial" w:hAnsi="Arial" w:cs="Arial"/>
          <w:b/>
          <w:bCs/>
          <w:sz w:val="22"/>
          <w:szCs w:val="22"/>
        </w:rPr>
      </w:pPr>
    </w:p>
    <w:p w:rsidR="007C4CC5" w:rsidRPr="002D16C0" w:rsidRDefault="007C4CC5" w:rsidP="007C4CC5">
      <w:pPr>
        <w:pStyle w:val="Heading2"/>
        <w:numPr>
          <w:ilvl w:val="0"/>
          <w:numId w:val="1"/>
        </w:numPr>
        <w:tabs>
          <w:tab w:val="left" w:pos="640"/>
        </w:tabs>
        <w:kinsoku w:val="0"/>
        <w:overflowPunct w:val="0"/>
        <w:spacing w:line="276" w:lineRule="exact"/>
        <w:ind w:left="639" w:right="1" w:hanging="539"/>
        <w:rPr>
          <w:sz w:val="22"/>
          <w:szCs w:val="22"/>
        </w:rPr>
      </w:pPr>
      <w:r w:rsidRPr="002D16C0">
        <w:rPr>
          <w:sz w:val="22"/>
          <w:szCs w:val="22"/>
        </w:rPr>
        <w:t>Introduction</w:t>
      </w:r>
    </w:p>
    <w:p w:rsidR="00802AE5" w:rsidRDefault="00802AE5" w:rsidP="00802AE5"/>
    <w:p w:rsidR="00487880" w:rsidRPr="00B03451" w:rsidRDefault="00487880" w:rsidP="00487880">
      <w:pPr>
        <w:pStyle w:val="BodyText"/>
        <w:kinsoku w:val="0"/>
        <w:overflowPunct w:val="0"/>
        <w:spacing w:before="55"/>
        <w:ind w:left="0" w:right="2136"/>
        <w:jc w:val="both"/>
      </w:pPr>
      <w:r>
        <w:t xml:space="preserve">Transfusion in patients with Sickle Cell Disease (SCD) and </w:t>
      </w:r>
      <w:proofErr w:type="spellStart"/>
      <w:r>
        <w:t>thalassaemia</w:t>
      </w:r>
      <w:proofErr w:type="spellEnd"/>
      <w:r>
        <w:t xml:space="preserve"> is increasing rapidly across the UK but with variability in indications and lack of robust evidence in many cases. Guidance is now issued by both the British Standards of Haematology (2016) and from the Standards of Clinical Care for adult patients with SCD in the UK. These guidelines describe the indications, management and process (including safety and selection) for blood transfusion in SCD and </w:t>
      </w:r>
      <w:proofErr w:type="spellStart"/>
      <w:r>
        <w:t>thalassaemia</w:t>
      </w:r>
      <w:proofErr w:type="spellEnd"/>
      <w:r>
        <w:t xml:space="preserve">. </w:t>
      </w:r>
    </w:p>
    <w:p w:rsidR="002D16C0" w:rsidRDefault="002D16C0" w:rsidP="002D16C0">
      <w:pPr>
        <w:pStyle w:val="BodyText"/>
        <w:kinsoku w:val="0"/>
        <w:overflowPunct w:val="0"/>
        <w:spacing w:before="55"/>
        <w:ind w:left="0" w:right="2136"/>
        <w:jc w:val="both"/>
      </w:pPr>
      <w:bookmarkStart w:id="0" w:name="_GoBack"/>
      <w:bookmarkEnd w:id="0"/>
    </w:p>
    <w:p w:rsidR="002D16C0" w:rsidRPr="003B6573" w:rsidRDefault="002D16C0" w:rsidP="002D16C0">
      <w:pPr>
        <w:rPr>
          <w:rFonts w:ascii="Arial" w:hAnsi="Arial" w:cs="Arial"/>
          <w:sz w:val="22"/>
          <w:szCs w:val="22"/>
        </w:rPr>
      </w:pPr>
      <w:r w:rsidRPr="003B6573">
        <w:rPr>
          <w:rFonts w:ascii="Arial" w:hAnsi="Arial" w:cs="Arial"/>
          <w:sz w:val="22"/>
          <w:szCs w:val="22"/>
        </w:rPr>
        <w:t xml:space="preserve">These guidelines should be used in conjunction with the St George’s University Hospitals NHS Blood Transfusion Policy </w:t>
      </w:r>
      <w:hyperlink r:id="rId12" w:history="1">
        <w:r w:rsidRPr="003B6573">
          <w:rPr>
            <w:rStyle w:val="Hyperlink"/>
            <w:rFonts w:ascii="Arial" w:hAnsi="Arial" w:cs="Arial"/>
            <w:sz w:val="22"/>
            <w:szCs w:val="22"/>
          </w:rPr>
          <w:t>http://stg1wordpress01/wordpress/wp-content/uploads/2016/06/Blood-Transfusion-Adults.pdf</w:t>
        </w:r>
      </w:hyperlink>
      <w:r w:rsidRPr="003B6573">
        <w:rPr>
          <w:rFonts w:ascii="Arial" w:hAnsi="Arial" w:cs="Arial"/>
          <w:sz w:val="22"/>
          <w:szCs w:val="22"/>
        </w:rPr>
        <w:t xml:space="preserve"> </w:t>
      </w:r>
    </w:p>
    <w:p w:rsidR="002D16C0" w:rsidRPr="00B03451" w:rsidRDefault="002D16C0" w:rsidP="002D16C0">
      <w:pPr>
        <w:pStyle w:val="BodyText"/>
        <w:kinsoku w:val="0"/>
        <w:overflowPunct w:val="0"/>
        <w:spacing w:before="55"/>
        <w:ind w:left="0" w:right="2136"/>
        <w:jc w:val="both"/>
      </w:pPr>
    </w:p>
    <w:p w:rsidR="002D16C0" w:rsidRPr="00802AE5" w:rsidRDefault="002D16C0" w:rsidP="00802AE5"/>
    <w:p w:rsidR="00ED74C8" w:rsidRPr="00B3284E" w:rsidRDefault="00ED74C8" w:rsidP="007C4CC5">
      <w:pPr>
        <w:pStyle w:val="Heading2"/>
        <w:numPr>
          <w:ilvl w:val="0"/>
          <w:numId w:val="1"/>
        </w:numPr>
        <w:tabs>
          <w:tab w:val="left" w:pos="640"/>
        </w:tabs>
        <w:kinsoku w:val="0"/>
        <w:overflowPunct w:val="0"/>
        <w:spacing w:line="276" w:lineRule="exact"/>
        <w:ind w:left="639" w:right="1" w:hanging="539"/>
        <w:rPr>
          <w:b w:val="0"/>
          <w:bCs w:val="0"/>
          <w:i/>
          <w:sz w:val="20"/>
          <w:szCs w:val="20"/>
        </w:rPr>
      </w:pPr>
      <w:r w:rsidRPr="00B3284E">
        <w:rPr>
          <w:i/>
          <w:sz w:val="20"/>
          <w:szCs w:val="20"/>
        </w:rPr>
        <w:t>Status and Purpose</w:t>
      </w:r>
    </w:p>
    <w:p w:rsidR="00ED74C8" w:rsidRPr="00B3284E" w:rsidRDefault="00ED74C8" w:rsidP="007C4CC5">
      <w:pPr>
        <w:pStyle w:val="BodyText"/>
        <w:kinsoku w:val="0"/>
        <w:overflowPunct w:val="0"/>
        <w:spacing w:line="253" w:lineRule="exact"/>
        <w:ind w:left="0"/>
        <w:jc w:val="both"/>
        <w:rPr>
          <w:i/>
          <w:sz w:val="20"/>
          <w:szCs w:val="20"/>
        </w:rPr>
      </w:pPr>
    </w:p>
    <w:p w:rsidR="00ED74C8" w:rsidRPr="00B3284E" w:rsidRDefault="00ED74C8" w:rsidP="00ED74C8">
      <w:pPr>
        <w:pStyle w:val="BodyText"/>
        <w:kinsoku w:val="0"/>
        <w:overflowPunct w:val="0"/>
        <w:spacing w:line="253" w:lineRule="exact"/>
        <w:jc w:val="both"/>
        <w:rPr>
          <w:i/>
          <w:sz w:val="20"/>
          <w:szCs w:val="20"/>
        </w:rPr>
      </w:pPr>
      <w:r w:rsidRPr="00B3284E">
        <w:rPr>
          <w:i/>
          <w:sz w:val="20"/>
          <w:szCs w:val="20"/>
        </w:rPr>
        <w:t xml:space="preserve">This document is part of the Haematology Department’s guidelines on the management of patients with SCD and is applicable to all staff involved in the care of these patients. </w:t>
      </w:r>
    </w:p>
    <w:p w:rsidR="00ED74C8" w:rsidRPr="00B3284E" w:rsidRDefault="00ED74C8" w:rsidP="00ED74C8">
      <w:pPr>
        <w:pStyle w:val="BodyText"/>
        <w:kinsoku w:val="0"/>
        <w:overflowPunct w:val="0"/>
        <w:spacing w:line="253" w:lineRule="exact"/>
        <w:jc w:val="both"/>
        <w:rPr>
          <w:i/>
          <w:sz w:val="20"/>
          <w:szCs w:val="20"/>
        </w:rPr>
      </w:pPr>
    </w:p>
    <w:p w:rsidR="00ED74C8" w:rsidRPr="00B3284E" w:rsidRDefault="00ED74C8" w:rsidP="00ED74C8">
      <w:pPr>
        <w:pStyle w:val="Heading2"/>
        <w:numPr>
          <w:ilvl w:val="0"/>
          <w:numId w:val="1"/>
        </w:numPr>
        <w:tabs>
          <w:tab w:val="left" w:pos="636"/>
        </w:tabs>
        <w:kinsoku w:val="0"/>
        <w:overflowPunct w:val="0"/>
        <w:spacing w:line="275" w:lineRule="exact"/>
        <w:ind w:left="635" w:right="1"/>
        <w:rPr>
          <w:b w:val="0"/>
          <w:bCs w:val="0"/>
          <w:i/>
          <w:sz w:val="20"/>
          <w:szCs w:val="20"/>
        </w:rPr>
      </w:pPr>
      <w:r w:rsidRPr="00B3284E">
        <w:rPr>
          <w:i/>
          <w:sz w:val="20"/>
          <w:szCs w:val="20"/>
        </w:rPr>
        <w:t>Definitions</w:t>
      </w:r>
    </w:p>
    <w:p w:rsidR="00ED74C8" w:rsidRPr="00B3284E" w:rsidRDefault="00ED74C8" w:rsidP="00ED74C8">
      <w:pPr>
        <w:pStyle w:val="BodyText"/>
        <w:kinsoku w:val="0"/>
        <w:overflowPunct w:val="0"/>
        <w:ind w:right="1"/>
        <w:rPr>
          <w:i/>
          <w:sz w:val="20"/>
          <w:szCs w:val="20"/>
        </w:rPr>
      </w:pPr>
      <w:r w:rsidRPr="00B3284E">
        <w:rPr>
          <w:i/>
          <w:sz w:val="20"/>
          <w:szCs w:val="20"/>
        </w:rPr>
        <w:t>Sickl</w:t>
      </w:r>
      <w:r w:rsidR="007C4CC5" w:rsidRPr="00B3284E">
        <w:rPr>
          <w:i/>
          <w:sz w:val="20"/>
          <w:szCs w:val="20"/>
        </w:rPr>
        <w:t>e Cell Disease – inherited life</w:t>
      </w:r>
      <w:r w:rsidRPr="00B3284E">
        <w:rPr>
          <w:i/>
          <w:sz w:val="20"/>
          <w:szCs w:val="20"/>
        </w:rPr>
        <w:t>long condition d</w:t>
      </w:r>
      <w:r w:rsidR="007C4CC5" w:rsidRPr="00B3284E">
        <w:rPr>
          <w:i/>
          <w:sz w:val="20"/>
          <w:szCs w:val="20"/>
        </w:rPr>
        <w:t>ue to abnormal haemoglobin varia</w:t>
      </w:r>
      <w:r w:rsidRPr="00B3284E">
        <w:rPr>
          <w:i/>
          <w:sz w:val="20"/>
          <w:szCs w:val="20"/>
        </w:rPr>
        <w:t>nt</w:t>
      </w:r>
      <w:r w:rsidR="008663ED" w:rsidRPr="00B3284E">
        <w:rPr>
          <w:i/>
          <w:sz w:val="20"/>
          <w:szCs w:val="20"/>
        </w:rPr>
        <w:t>.</w:t>
      </w:r>
    </w:p>
    <w:p w:rsidR="00ED74C8" w:rsidRPr="00B3284E" w:rsidRDefault="00ED74C8" w:rsidP="00ED74C8">
      <w:pPr>
        <w:pStyle w:val="BodyText"/>
        <w:kinsoku w:val="0"/>
        <w:overflowPunct w:val="0"/>
        <w:spacing w:before="1"/>
        <w:ind w:left="0"/>
        <w:rPr>
          <w:i/>
          <w:sz w:val="20"/>
          <w:szCs w:val="20"/>
        </w:rPr>
      </w:pPr>
    </w:p>
    <w:p w:rsidR="00ED74C8" w:rsidRPr="00B3284E" w:rsidRDefault="00ED74C8" w:rsidP="00ED74C8">
      <w:pPr>
        <w:pStyle w:val="Heading2"/>
        <w:numPr>
          <w:ilvl w:val="0"/>
          <w:numId w:val="1"/>
        </w:numPr>
        <w:tabs>
          <w:tab w:val="left" w:pos="636"/>
        </w:tabs>
        <w:kinsoku w:val="0"/>
        <w:overflowPunct w:val="0"/>
        <w:ind w:left="635" w:right="1"/>
        <w:rPr>
          <w:b w:val="0"/>
          <w:bCs w:val="0"/>
          <w:i/>
          <w:sz w:val="20"/>
          <w:szCs w:val="20"/>
        </w:rPr>
      </w:pPr>
      <w:r w:rsidRPr="00B3284E">
        <w:rPr>
          <w:i/>
          <w:sz w:val="20"/>
          <w:szCs w:val="20"/>
        </w:rPr>
        <w:t>Scope</w:t>
      </w:r>
    </w:p>
    <w:p w:rsidR="00ED74C8" w:rsidRPr="00B3284E" w:rsidRDefault="00ED74C8" w:rsidP="00ED74C8">
      <w:pPr>
        <w:pStyle w:val="BodyText"/>
        <w:kinsoku w:val="0"/>
        <w:overflowPunct w:val="0"/>
        <w:jc w:val="both"/>
        <w:rPr>
          <w:i/>
          <w:sz w:val="20"/>
          <w:szCs w:val="20"/>
        </w:rPr>
      </w:pPr>
      <w:r w:rsidRPr="00B3284E">
        <w:rPr>
          <w:i/>
          <w:sz w:val="20"/>
          <w:szCs w:val="20"/>
        </w:rPr>
        <w:t xml:space="preserve">This guideline is relevant to the care of patients with SCD </w:t>
      </w:r>
      <w:r w:rsidR="007C4CC5" w:rsidRPr="00B3284E">
        <w:rPr>
          <w:i/>
          <w:sz w:val="20"/>
          <w:szCs w:val="20"/>
        </w:rPr>
        <w:t xml:space="preserve">requiring elective and emergency surgery at </w:t>
      </w:r>
      <w:proofErr w:type="spellStart"/>
      <w:r w:rsidR="007C4CC5" w:rsidRPr="00B3284E">
        <w:rPr>
          <w:i/>
          <w:sz w:val="20"/>
          <w:szCs w:val="20"/>
        </w:rPr>
        <w:t>St.George’s</w:t>
      </w:r>
      <w:proofErr w:type="spellEnd"/>
      <w:r w:rsidR="007C4CC5" w:rsidRPr="00B3284E">
        <w:rPr>
          <w:i/>
          <w:sz w:val="20"/>
          <w:szCs w:val="20"/>
        </w:rPr>
        <w:t>.</w:t>
      </w:r>
    </w:p>
    <w:p w:rsidR="00ED74C8" w:rsidRPr="00B3284E" w:rsidRDefault="00ED74C8" w:rsidP="00ED74C8">
      <w:pPr>
        <w:pStyle w:val="BodyText"/>
        <w:kinsoku w:val="0"/>
        <w:overflowPunct w:val="0"/>
        <w:spacing w:before="5"/>
        <w:ind w:left="0"/>
        <w:rPr>
          <w:i/>
          <w:sz w:val="20"/>
          <w:szCs w:val="20"/>
        </w:rPr>
      </w:pPr>
    </w:p>
    <w:p w:rsidR="00ED74C8" w:rsidRPr="00B3284E" w:rsidRDefault="00ED74C8" w:rsidP="00ED74C8">
      <w:pPr>
        <w:pStyle w:val="Heading2"/>
        <w:numPr>
          <w:ilvl w:val="0"/>
          <w:numId w:val="1"/>
        </w:numPr>
        <w:tabs>
          <w:tab w:val="left" w:pos="640"/>
        </w:tabs>
        <w:kinsoku w:val="0"/>
        <w:overflowPunct w:val="0"/>
        <w:spacing w:line="276" w:lineRule="exact"/>
        <w:ind w:left="639" w:right="1" w:hanging="539"/>
        <w:rPr>
          <w:b w:val="0"/>
          <w:bCs w:val="0"/>
          <w:i/>
          <w:sz w:val="20"/>
          <w:szCs w:val="20"/>
        </w:rPr>
      </w:pPr>
      <w:r w:rsidRPr="00B3284E">
        <w:rPr>
          <w:i/>
          <w:sz w:val="20"/>
          <w:szCs w:val="20"/>
        </w:rPr>
        <w:t>Roles and</w:t>
      </w:r>
      <w:r w:rsidRPr="00B3284E">
        <w:rPr>
          <w:i/>
          <w:spacing w:val="-1"/>
          <w:sz w:val="20"/>
          <w:szCs w:val="20"/>
        </w:rPr>
        <w:t xml:space="preserve"> </w:t>
      </w:r>
      <w:r w:rsidRPr="00B3284E">
        <w:rPr>
          <w:i/>
          <w:sz w:val="20"/>
          <w:szCs w:val="20"/>
        </w:rPr>
        <w:t>Responsibilities</w:t>
      </w:r>
    </w:p>
    <w:p w:rsidR="00ED74C8" w:rsidRPr="00B3284E" w:rsidRDefault="00ED74C8" w:rsidP="00ED74C8">
      <w:pPr>
        <w:pStyle w:val="BodyText"/>
        <w:kinsoku w:val="0"/>
        <w:overflowPunct w:val="0"/>
        <w:spacing w:before="2"/>
        <w:ind w:left="0"/>
        <w:rPr>
          <w:i/>
          <w:sz w:val="20"/>
          <w:szCs w:val="20"/>
        </w:rPr>
      </w:pPr>
    </w:p>
    <w:p w:rsidR="00ED74C8" w:rsidRPr="00B3284E" w:rsidRDefault="00ED74C8" w:rsidP="00ED74C8">
      <w:pPr>
        <w:pStyle w:val="Heading3"/>
        <w:kinsoku w:val="0"/>
        <w:overflowPunct w:val="0"/>
        <w:ind w:left="640"/>
        <w:jc w:val="both"/>
        <w:rPr>
          <w:b w:val="0"/>
          <w:bCs w:val="0"/>
          <w:i/>
          <w:sz w:val="20"/>
          <w:szCs w:val="20"/>
        </w:rPr>
      </w:pPr>
      <w:r w:rsidRPr="00B3284E">
        <w:rPr>
          <w:i/>
          <w:sz w:val="20"/>
          <w:szCs w:val="20"/>
        </w:rPr>
        <w:t xml:space="preserve">5.1 </w:t>
      </w:r>
      <w:proofErr w:type="spellStart"/>
      <w:r w:rsidRPr="00B3284E">
        <w:rPr>
          <w:i/>
          <w:sz w:val="20"/>
          <w:szCs w:val="20"/>
        </w:rPr>
        <w:t>Haemoglobinopathy</w:t>
      </w:r>
      <w:proofErr w:type="spellEnd"/>
      <w:r w:rsidRPr="00B3284E">
        <w:rPr>
          <w:i/>
          <w:sz w:val="20"/>
          <w:szCs w:val="20"/>
        </w:rPr>
        <w:t xml:space="preserve"> team (Consultant haematologists, Clinical Nurse Specialist and Clinical Health Psychologist) </w:t>
      </w:r>
      <w:r w:rsidRPr="00B3284E">
        <w:rPr>
          <w:b w:val="0"/>
          <w:i/>
          <w:sz w:val="20"/>
          <w:szCs w:val="20"/>
        </w:rPr>
        <w:t>– Responsible for the care of these patients, developing and updating guidelines to be reflective of good practice and to deliver the training to ensure good safe care</w:t>
      </w:r>
      <w:r w:rsidR="007C4CC5" w:rsidRPr="00B3284E">
        <w:rPr>
          <w:b w:val="0"/>
          <w:i/>
          <w:sz w:val="20"/>
          <w:szCs w:val="20"/>
        </w:rPr>
        <w:t>.</w:t>
      </w:r>
    </w:p>
    <w:p w:rsidR="00ED74C8" w:rsidRPr="00B3284E" w:rsidRDefault="00ED74C8" w:rsidP="00ED74C8">
      <w:pPr>
        <w:pStyle w:val="BodyText"/>
        <w:kinsoku w:val="0"/>
        <w:overflowPunct w:val="0"/>
        <w:spacing w:before="11"/>
        <w:ind w:left="0"/>
        <w:rPr>
          <w:b/>
          <w:bCs/>
          <w:i/>
          <w:sz w:val="20"/>
          <w:szCs w:val="20"/>
        </w:rPr>
      </w:pPr>
    </w:p>
    <w:p w:rsidR="00ED74C8" w:rsidRPr="00B3284E" w:rsidRDefault="00ED74C8" w:rsidP="00ED74C8">
      <w:pPr>
        <w:pStyle w:val="BodyText"/>
        <w:kinsoku w:val="0"/>
        <w:overflowPunct w:val="0"/>
        <w:jc w:val="both"/>
        <w:rPr>
          <w:i/>
          <w:sz w:val="20"/>
          <w:szCs w:val="20"/>
        </w:rPr>
      </w:pPr>
      <w:r w:rsidRPr="00B3284E">
        <w:rPr>
          <w:b/>
          <w:bCs/>
          <w:i/>
          <w:sz w:val="20"/>
          <w:szCs w:val="20"/>
        </w:rPr>
        <w:t xml:space="preserve">5.2 Medical staff involved in the care of patients with SCD. </w:t>
      </w:r>
      <w:proofErr w:type="gramStart"/>
      <w:r w:rsidRPr="00B3284E">
        <w:rPr>
          <w:bCs/>
          <w:i/>
          <w:sz w:val="20"/>
          <w:szCs w:val="20"/>
        </w:rPr>
        <w:t xml:space="preserve">Responsible with the oversight of the </w:t>
      </w:r>
      <w:proofErr w:type="spellStart"/>
      <w:r w:rsidRPr="00B3284E">
        <w:rPr>
          <w:bCs/>
          <w:i/>
          <w:sz w:val="20"/>
          <w:szCs w:val="20"/>
        </w:rPr>
        <w:t>haemoglobinopathy</w:t>
      </w:r>
      <w:proofErr w:type="spellEnd"/>
      <w:r w:rsidRPr="00B3284E">
        <w:rPr>
          <w:bCs/>
          <w:i/>
          <w:sz w:val="20"/>
          <w:szCs w:val="20"/>
        </w:rPr>
        <w:t xml:space="preserve"> team to deliver the care </w:t>
      </w:r>
      <w:r w:rsidR="008663ED" w:rsidRPr="00B3284E">
        <w:rPr>
          <w:bCs/>
          <w:i/>
          <w:sz w:val="20"/>
          <w:szCs w:val="20"/>
        </w:rPr>
        <w:t>to</w:t>
      </w:r>
      <w:r w:rsidRPr="00B3284E">
        <w:rPr>
          <w:bCs/>
          <w:i/>
          <w:sz w:val="20"/>
          <w:szCs w:val="20"/>
        </w:rPr>
        <w:t xml:space="preserve"> these patients in line with guidelines where possible.</w:t>
      </w:r>
      <w:proofErr w:type="gramEnd"/>
      <w:r w:rsidRPr="00B3284E">
        <w:rPr>
          <w:bCs/>
          <w:i/>
          <w:sz w:val="20"/>
          <w:szCs w:val="20"/>
        </w:rPr>
        <w:t xml:space="preserve"> </w:t>
      </w:r>
    </w:p>
    <w:p w:rsidR="00ED74C8" w:rsidRPr="00B3284E" w:rsidRDefault="00ED74C8" w:rsidP="00ED74C8">
      <w:pPr>
        <w:pStyle w:val="BodyText"/>
        <w:kinsoku w:val="0"/>
        <w:overflowPunct w:val="0"/>
        <w:ind w:left="0"/>
        <w:rPr>
          <w:b/>
          <w:bCs/>
          <w:i/>
          <w:sz w:val="20"/>
          <w:szCs w:val="20"/>
        </w:rPr>
      </w:pPr>
    </w:p>
    <w:p w:rsidR="00FC5932" w:rsidRPr="00B3284E" w:rsidRDefault="00ED74C8" w:rsidP="007C4CC5">
      <w:pPr>
        <w:pStyle w:val="BodyText"/>
        <w:kinsoku w:val="0"/>
        <w:overflowPunct w:val="0"/>
        <w:spacing w:before="11"/>
        <w:ind w:left="639"/>
        <w:rPr>
          <w:bCs/>
          <w:i/>
          <w:sz w:val="20"/>
          <w:szCs w:val="20"/>
        </w:rPr>
      </w:pPr>
      <w:r w:rsidRPr="00B3284E">
        <w:rPr>
          <w:b/>
          <w:bCs/>
          <w:i/>
          <w:sz w:val="20"/>
          <w:szCs w:val="20"/>
        </w:rPr>
        <w:t xml:space="preserve">5.3 Nursing staff and allied health professionals involved in the care of patients with SCD on wards, day unit and other areas of St George’s  </w:t>
      </w:r>
      <w:r w:rsidR="00AF64D5" w:rsidRPr="00B3284E">
        <w:rPr>
          <w:bCs/>
          <w:i/>
          <w:sz w:val="20"/>
          <w:szCs w:val="20"/>
        </w:rPr>
        <w:t>r</w:t>
      </w:r>
      <w:r w:rsidRPr="00B3284E">
        <w:rPr>
          <w:bCs/>
          <w:i/>
          <w:sz w:val="20"/>
          <w:szCs w:val="20"/>
        </w:rPr>
        <w:t xml:space="preserve">esponsible with the oversight of the </w:t>
      </w:r>
      <w:proofErr w:type="spellStart"/>
      <w:r w:rsidRPr="00B3284E">
        <w:rPr>
          <w:bCs/>
          <w:i/>
          <w:sz w:val="20"/>
          <w:szCs w:val="20"/>
        </w:rPr>
        <w:t>haemoglobinopathy</w:t>
      </w:r>
      <w:proofErr w:type="spellEnd"/>
      <w:r w:rsidRPr="00B3284E">
        <w:rPr>
          <w:bCs/>
          <w:i/>
          <w:sz w:val="20"/>
          <w:szCs w:val="20"/>
        </w:rPr>
        <w:t xml:space="preserve"> team to deliver the care of these patients in line with guidelines</w:t>
      </w:r>
      <w:r w:rsidR="00330144" w:rsidRPr="00B3284E">
        <w:rPr>
          <w:bCs/>
          <w:i/>
          <w:sz w:val="20"/>
          <w:szCs w:val="20"/>
        </w:rPr>
        <w:t xml:space="preserve"> where possible</w:t>
      </w:r>
      <w:r w:rsidR="007C4CC5" w:rsidRPr="00B3284E">
        <w:rPr>
          <w:bCs/>
          <w:i/>
          <w:sz w:val="20"/>
          <w:szCs w:val="20"/>
        </w:rPr>
        <w:t>.</w:t>
      </w:r>
    </w:p>
    <w:p w:rsidR="007C4CC5" w:rsidRPr="00B3284E" w:rsidRDefault="007C4CC5" w:rsidP="007C4CC5">
      <w:pPr>
        <w:pStyle w:val="BodyText"/>
        <w:kinsoku w:val="0"/>
        <w:overflowPunct w:val="0"/>
        <w:spacing w:before="11"/>
        <w:ind w:left="639"/>
        <w:rPr>
          <w:b/>
          <w:bCs/>
          <w:i/>
          <w:sz w:val="20"/>
          <w:szCs w:val="20"/>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5B2407" w:rsidRDefault="005B2407" w:rsidP="007C4CC5">
      <w:pPr>
        <w:pStyle w:val="BodyText"/>
        <w:kinsoku w:val="0"/>
        <w:overflowPunct w:val="0"/>
        <w:spacing w:before="11"/>
        <w:ind w:left="639"/>
        <w:rPr>
          <w:b/>
          <w:bCs/>
        </w:rPr>
      </w:pPr>
    </w:p>
    <w:p w:rsidR="000A505A" w:rsidRDefault="000A505A" w:rsidP="000A505A">
      <w:pPr>
        <w:tabs>
          <w:tab w:val="left" w:pos="640"/>
        </w:tabs>
        <w:kinsoku w:val="0"/>
        <w:overflowPunct w:val="0"/>
        <w:spacing w:line="276" w:lineRule="exact"/>
        <w:ind w:right="1"/>
        <w:rPr>
          <w:rFonts w:ascii="Arial" w:hAnsi="Arial" w:cs="Arial"/>
          <w:b/>
          <w:bCs/>
          <w:sz w:val="22"/>
          <w:szCs w:val="22"/>
        </w:rPr>
      </w:pPr>
    </w:p>
    <w:p w:rsidR="00B3284E" w:rsidRDefault="00B3284E" w:rsidP="000A505A">
      <w:pPr>
        <w:tabs>
          <w:tab w:val="left" w:pos="640"/>
        </w:tabs>
        <w:kinsoku w:val="0"/>
        <w:overflowPunct w:val="0"/>
        <w:spacing w:line="276" w:lineRule="exact"/>
        <w:ind w:right="1"/>
        <w:rPr>
          <w:rFonts w:ascii="Arial" w:hAnsi="Arial" w:cs="Arial"/>
          <w:b/>
          <w:bCs/>
          <w:sz w:val="22"/>
          <w:szCs w:val="22"/>
        </w:rPr>
      </w:pPr>
    </w:p>
    <w:p w:rsidR="00B3284E" w:rsidRDefault="00B3284E">
      <w:pPr>
        <w:widowControl/>
        <w:autoSpaceDE/>
        <w:autoSpaceDN/>
        <w:adjustRightInd/>
        <w:spacing w:after="200" w:line="276" w:lineRule="auto"/>
        <w:rPr>
          <w:rFonts w:ascii="Arial" w:hAnsi="Arial" w:cs="Arial"/>
          <w:b/>
          <w:bCs/>
          <w:sz w:val="22"/>
          <w:szCs w:val="22"/>
        </w:rPr>
      </w:pPr>
      <w:r>
        <w:rPr>
          <w:rFonts w:ascii="Arial" w:hAnsi="Arial" w:cs="Arial"/>
          <w:b/>
          <w:bCs/>
          <w:sz w:val="22"/>
          <w:szCs w:val="22"/>
        </w:rPr>
        <w:br w:type="page"/>
      </w:r>
    </w:p>
    <w:p w:rsidR="000F2EF9" w:rsidRPr="000F2EF9" w:rsidRDefault="000A505A" w:rsidP="000F2EF9">
      <w:pPr>
        <w:pStyle w:val="ListParagraph"/>
        <w:numPr>
          <w:ilvl w:val="0"/>
          <w:numId w:val="18"/>
        </w:numPr>
        <w:tabs>
          <w:tab w:val="left" w:pos="640"/>
        </w:tabs>
        <w:kinsoku w:val="0"/>
        <w:overflowPunct w:val="0"/>
        <w:spacing w:line="276" w:lineRule="exact"/>
        <w:ind w:right="1"/>
        <w:rPr>
          <w:rFonts w:ascii="Arial" w:hAnsi="Arial" w:cs="Arial"/>
          <w:sz w:val="22"/>
          <w:szCs w:val="22"/>
        </w:rPr>
      </w:pPr>
      <w:r>
        <w:rPr>
          <w:rFonts w:ascii="Arial" w:hAnsi="Arial" w:cs="Arial"/>
          <w:b/>
          <w:bCs/>
          <w:sz w:val="22"/>
          <w:szCs w:val="22"/>
        </w:rPr>
        <w:lastRenderedPageBreak/>
        <w:t xml:space="preserve">    </w:t>
      </w:r>
      <w:r w:rsidR="000F2EF9">
        <w:rPr>
          <w:rFonts w:ascii="Arial" w:hAnsi="Arial" w:cs="Arial"/>
          <w:b/>
          <w:bCs/>
          <w:sz w:val="22"/>
          <w:szCs w:val="22"/>
        </w:rPr>
        <w:t xml:space="preserve">Contents </w:t>
      </w:r>
    </w:p>
    <w:p w:rsidR="000F2EF9" w:rsidRPr="000F2EF9" w:rsidRDefault="000F2EF9" w:rsidP="000F2EF9">
      <w:pPr>
        <w:pStyle w:val="ListParagraph"/>
        <w:tabs>
          <w:tab w:val="left" w:pos="640"/>
        </w:tabs>
        <w:kinsoku w:val="0"/>
        <w:overflowPunct w:val="0"/>
        <w:spacing w:line="276" w:lineRule="exact"/>
        <w:ind w:left="360" w:right="1"/>
        <w:rPr>
          <w:rFonts w:ascii="Arial" w:hAnsi="Arial" w:cs="Arial"/>
          <w:sz w:val="22"/>
          <w:szCs w:val="22"/>
        </w:rPr>
      </w:pPr>
    </w:p>
    <w:p w:rsidR="000F2EF9" w:rsidRPr="000F2EF9" w:rsidRDefault="000F2EF9" w:rsidP="000F2EF9">
      <w:pPr>
        <w:pStyle w:val="ListParagraph"/>
        <w:numPr>
          <w:ilvl w:val="1"/>
          <w:numId w:val="18"/>
        </w:numPr>
        <w:tabs>
          <w:tab w:val="left" w:pos="640"/>
        </w:tabs>
        <w:kinsoku w:val="0"/>
        <w:overflowPunct w:val="0"/>
        <w:spacing w:line="276" w:lineRule="exact"/>
        <w:ind w:right="1"/>
        <w:rPr>
          <w:rFonts w:ascii="Arial" w:hAnsi="Arial" w:cs="Arial"/>
          <w:sz w:val="22"/>
          <w:szCs w:val="22"/>
        </w:rPr>
      </w:pPr>
      <w:r w:rsidRPr="000F2EF9">
        <w:rPr>
          <w:rFonts w:ascii="Arial" w:hAnsi="Arial" w:cs="Arial"/>
          <w:sz w:val="22"/>
          <w:szCs w:val="22"/>
        </w:rPr>
        <w:t>summary of transfusion in SCD</w:t>
      </w:r>
    </w:p>
    <w:p w:rsidR="000F2EF9" w:rsidRPr="000F2EF9" w:rsidRDefault="000F2EF9" w:rsidP="000F2EF9">
      <w:pPr>
        <w:pStyle w:val="ListParagraph"/>
        <w:numPr>
          <w:ilvl w:val="1"/>
          <w:numId w:val="18"/>
        </w:numPr>
        <w:tabs>
          <w:tab w:val="left" w:pos="640"/>
        </w:tabs>
        <w:kinsoku w:val="0"/>
        <w:overflowPunct w:val="0"/>
        <w:spacing w:line="276" w:lineRule="exact"/>
        <w:ind w:right="1"/>
        <w:rPr>
          <w:rFonts w:ascii="Arial" w:hAnsi="Arial" w:cs="Arial"/>
          <w:sz w:val="22"/>
          <w:szCs w:val="22"/>
        </w:rPr>
      </w:pPr>
      <w:r w:rsidRPr="000F2EF9">
        <w:rPr>
          <w:rFonts w:ascii="Arial" w:hAnsi="Arial" w:cs="Arial"/>
          <w:sz w:val="22"/>
          <w:szCs w:val="22"/>
        </w:rPr>
        <w:t>Indications for top up transfusions in SCD</w:t>
      </w:r>
    </w:p>
    <w:p w:rsidR="000F2EF9" w:rsidRPr="000F2EF9" w:rsidRDefault="000F2EF9" w:rsidP="000F2EF9">
      <w:pPr>
        <w:pStyle w:val="ListParagraph"/>
        <w:numPr>
          <w:ilvl w:val="1"/>
          <w:numId w:val="18"/>
        </w:numPr>
        <w:tabs>
          <w:tab w:val="left" w:pos="640"/>
        </w:tabs>
        <w:kinsoku w:val="0"/>
        <w:overflowPunct w:val="0"/>
        <w:spacing w:line="276" w:lineRule="exact"/>
        <w:ind w:right="1"/>
        <w:rPr>
          <w:rFonts w:ascii="Arial" w:hAnsi="Arial" w:cs="Arial"/>
          <w:sz w:val="22"/>
          <w:szCs w:val="22"/>
        </w:rPr>
      </w:pPr>
      <w:r w:rsidRPr="000F2EF9">
        <w:rPr>
          <w:rFonts w:ascii="Arial" w:hAnsi="Arial" w:cs="Arial"/>
          <w:sz w:val="22"/>
          <w:szCs w:val="22"/>
        </w:rPr>
        <w:t xml:space="preserve">Indications for elective exchange transfusions in SCD </w:t>
      </w:r>
    </w:p>
    <w:p w:rsidR="000F2EF9" w:rsidRPr="000F2EF9" w:rsidRDefault="000F2EF9" w:rsidP="000F2EF9">
      <w:pPr>
        <w:pStyle w:val="ListParagraph"/>
        <w:numPr>
          <w:ilvl w:val="1"/>
          <w:numId w:val="18"/>
        </w:numPr>
        <w:tabs>
          <w:tab w:val="left" w:pos="640"/>
        </w:tabs>
        <w:kinsoku w:val="0"/>
        <w:overflowPunct w:val="0"/>
        <w:spacing w:line="276" w:lineRule="exact"/>
        <w:ind w:right="1"/>
        <w:rPr>
          <w:rFonts w:ascii="Arial" w:hAnsi="Arial" w:cs="Arial"/>
          <w:sz w:val="22"/>
          <w:szCs w:val="22"/>
        </w:rPr>
      </w:pPr>
      <w:r w:rsidRPr="000F2EF9">
        <w:rPr>
          <w:rFonts w:ascii="Arial" w:hAnsi="Arial" w:cs="Arial"/>
          <w:sz w:val="22"/>
          <w:szCs w:val="22"/>
        </w:rPr>
        <w:t>Indications for emergency exchanges in SCD</w:t>
      </w:r>
    </w:p>
    <w:p w:rsidR="00FB7672" w:rsidRPr="00FB7672" w:rsidRDefault="000F2EF9" w:rsidP="000F2EF9">
      <w:pPr>
        <w:pStyle w:val="ListParagraph"/>
        <w:numPr>
          <w:ilvl w:val="1"/>
          <w:numId w:val="18"/>
        </w:numPr>
        <w:tabs>
          <w:tab w:val="left" w:pos="640"/>
        </w:tabs>
        <w:kinsoku w:val="0"/>
        <w:overflowPunct w:val="0"/>
        <w:spacing w:line="276" w:lineRule="exact"/>
        <w:ind w:right="1"/>
        <w:rPr>
          <w:rFonts w:ascii="Arial" w:hAnsi="Arial" w:cs="Arial"/>
          <w:sz w:val="22"/>
          <w:szCs w:val="22"/>
        </w:rPr>
      </w:pPr>
      <w:r w:rsidRPr="000F2EF9">
        <w:rPr>
          <w:rFonts w:ascii="Arial" w:hAnsi="Arial" w:cs="Arial"/>
          <w:sz w:val="22"/>
          <w:szCs w:val="22"/>
        </w:rPr>
        <w:t>Safety and Monitoring of patients with SCD on long term transfusions</w:t>
      </w:r>
      <w:r w:rsidR="00FB7672" w:rsidRPr="00FB7672">
        <w:rPr>
          <w:rFonts w:ascii="Arial" w:eastAsiaTheme="minorHAnsi" w:hAnsi="Arial" w:cs="Arial"/>
          <w:b/>
          <w:bCs/>
          <w:color w:val="000000"/>
          <w:sz w:val="22"/>
          <w:szCs w:val="22"/>
          <w:u w:val="single"/>
          <w:lang w:eastAsia="en-US"/>
        </w:rPr>
        <w:t xml:space="preserve"> </w:t>
      </w:r>
    </w:p>
    <w:p w:rsidR="000F2EF9" w:rsidRPr="00FB7672" w:rsidRDefault="00FB7672" w:rsidP="000F2EF9">
      <w:pPr>
        <w:pStyle w:val="ListParagraph"/>
        <w:numPr>
          <w:ilvl w:val="1"/>
          <w:numId w:val="18"/>
        </w:numPr>
        <w:tabs>
          <w:tab w:val="left" w:pos="640"/>
        </w:tabs>
        <w:kinsoku w:val="0"/>
        <w:overflowPunct w:val="0"/>
        <w:spacing w:line="276" w:lineRule="exact"/>
        <w:ind w:right="1"/>
        <w:rPr>
          <w:rFonts w:ascii="Arial" w:hAnsi="Arial" w:cs="Arial"/>
          <w:sz w:val="22"/>
          <w:szCs w:val="22"/>
        </w:rPr>
      </w:pPr>
      <w:r w:rsidRPr="00FB7672">
        <w:rPr>
          <w:rFonts w:ascii="Arial" w:eastAsiaTheme="minorHAnsi" w:hAnsi="Arial" w:cs="Arial"/>
          <w:bCs/>
          <w:color w:val="000000"/>
          <w:sz w:val="22"/>
          <w:szCs w:val="22"/>
          <w:lang w:eastAsia="en-US"/>
        </w:rPr>
        <w:t>Patients who refuse Blood Transfusion</w:t>
      </w:r>
    </w:p>
    <w:p w:rsidR="00FB7672" w:rsidRPr="00FB7672" w:rsidRDefault="00FB7672" w:rsidP="000F2EF9">
      <w:pPr>
        <w:pStyle w:val="ListParagraph"/>
        <w:numPr>
          <w:ilvl w:val="1"/>
          <w:numId w:val="18"/>
        </w:numPr>
        <w:tabs>
          <w:tab w:val="left" w:pos="640"/>
        </w:tabs>
        <w:kinsoku w:val="0"/>
        <w:overflowPunct w:val="0"/>
        <w:spacing w:line="276" w:lineRule="exact"/>
        <w:ind w:right="1"/>
        <w:rPr>
          <w:rFonts w:ascii="Arial" w:hAnsi="Arial" w:cs="Arial"/>
          <w:sz w:val="22"/>
          <w:szCs w:val="22"/>
        </w:rPr>
      </w:pPr>
      <w:r>
        <w:rPr>
          <w:rFonts w:ascii="Arial" w:eastAsiaTheme="minorHAnsi" w:hAnsi="Arial" w:cs="Arial"/>
          <w:bCs/>
          <w:color w:val="000000"/>
          <w:sz w:val="22"/>
          <w:szCs w:val="22"/>
          <w:lang w:eastAsia="en-US"/>
        </w:rPr>
        <w:t>Patients who are ‘difficult to transfuse’</w:t>
      </w:r>
    </w:p>
    <w:p w:rsidR="000F2EF9" w:rsidRPr="000F2EF9" w:rsidRDefault="000F2EF9" w:rsidP="000F2EF9">
      <w:pPr>
        <w:tabs>
          <w:tab w:val="left" w:pos="640"/>
        </w:tabs>
        <w:kinsoku w:val="0"/>
        <w:overflowPunct w:val="0"/>
        <w:spacing w:line="276" w:lineRule="exact"/>
        <w:ind w:right="1"/>
        <w:rPr>
          <w:rFonts w:ascii="Arial" w:hAnsi="Arial" w:cs="Arial"/>
          <w:sz w:val="22"/>
          <w:szCs w:val="22"/>
        </w:rPr>
      </w:pPr>
    </w:p>
    <w:p w:rsidR="00802AE5" w:rsidRPr="000F2EF9" w:rsidRDefault="000F2EF9" w:rsidP="00802AE5">
      <w:pPr>
        <w:rPr>
          <w:rFonts w:ascii="Arial" w:hAnsi="Arial" w:cs="Arial"/>
          <w:b/>
          <w:sz w:val="22"/>
          <w:szCs w:val="22"/>
          <w:u w:val="single"/>
        </w:rPr>
      </w:pPr>
      <w:r w:rsidRPr="000F2EF9">
        <w:rPr>
          <w:rFonts w:ascii="Arial" w:hAnsi="Arial" w:cs="Arial"/>
          <w:b/>
          <w:sz w:val="22"/>
          <w:szCs w:val="22"/>
          <w:u w:val="single"/>
        </w:rPr>
        <w:t>6.1 Summary of Transfusion in SCD</w:t>
      </w:r>
    </w:p>
    <w:p w:rsidR="000F2EF9" w:rsidRPr="003B6573" w:rsidRDefault="000F2EF9" w:rsidP="00802AE5">
      <w:pPr>
        <w:rPr>
          <w:rFonts w:ascii="Arial" w:hAnsi="Arial" w:cs="Arial"/>
          <w:sz w:val="22"/>
          <w:szCs w:val="22"/>
        </w:rPr>
      </w:pPr>
    </w:p>
    <w:p w:rsidR="00802AE5" w:rsidRPr="000F2EF9" w:rsidRDefault="00802AE5" w:rsidP="000F2EF9">
      <w:pPr>
        <w:widowControl/>
        <w:autoSpaceDE/>
        <w:autoSpaceDN/>
        <w:adjustRightInd/>
        <w:spacing w:after="200" w:line="276" w:lineRule="auto"/>
        <w:contextualSpacing/>
        <w:rPr>
          <w:rFonts w:ascii="Arial" w:hAnsi="Arial" w:cs="Arial"/>
          <w:sz w:val="22"/>
          <w:szCs w:val="22"/>
        </w:rPr>
      </w:pPr>
      <w:r w:rsidRPr="000F2EF9">
        <w:rPr>
          <w:rFonts w:ascii="Arial" w:hAnsi="Arial" w:cs="Arial"/>
          <w:sz w:val="22"/>
          <w:szCs w:val="22"/>
        </w:rPr>
        <w:t xml:space="preserve">In patients with </w:t>
      </w:r>
      <w:r w:rsidRPr="000F2EF9">
        <w:rPr>
          <w:rFonts w:ascii="Arial" w:hAnsi="Arial" w:cs="Arial"/>
          <w:b/>
          <w:sz w:val="22"/>
          <w:szCs w:val="22"/>
        </w:rPr>
        <w:t>sickle cell disease</w:t>
      </w:r>
      <w:r w:rsidRPr="000F2EF9">
        <w:rPr>
          <w:rFonts w:ascii="Arial" w:hAnsi="Arial" w:cs="Arial"/>
          <w:sz w:val="22"/>
          <w:szCs w:val="22"/>
        </w:rPr>
        <w:t xml:space="preserve"> (SCD) the transfusion of packed red cells has 2 goals:</w:t>
      </w:r>
    </w:p>
    <w:p w:rsidR="00802AE5" w:rsidRPr="003B6573" w:rsidRDefault="00802AE5" w:rsidP="00802AE5">
      <w:pPr>
        <w:pStyle w:val="ListParagraph"/>
        <w:widowControl/>
        <w:numPr>
          <w:ilvl w:val="0"/>
          <w:numId w:val="21"/>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To increase tissue oxygenation by correcting anaemia</w:t>
      </w:r>
    </w:p>
    <w:p w:rsidR="00802AE5" w:rsidRPr="003B6573" w:rsidRDefault="00802AE5" w:rsidP="00802AE5">
      <w:pPr>
        <w:pStyle w:val="ListParagraph"/>
        <w:widowControl/>
        <w:numPr>
          <w:ilvl w:val="0"/>
          <w:numId w:val="21"/>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 xml:space="preserve">To prevent or reduce the complications of sickling by reducing the </w:t>
      </w:r>
      <w:proofErr w:type="spellStart"/>
      <w:r w:rsidRPr="003B6573">
        <w:rPr>
          <w:rFonts w:ascii="Arial" w:hAnsi="Arial" w:cs="Arial"/>
          <w:sz w:val="22"/>
          <w:szCs w:val="22"/>
        </w:rPr>
        <w:t>HbS</w:t>
      </w:r>
      <w:proofErr w:type="spellEnd"/>
      <w:r w:rsidRPr="003B6573">
        <w:rPr>
          <w:rFonts w:ascii="Arial" w:hAnsi="Arial" w:cs="Arial"/>
          <w:sz w:val="22"/>
          <w:szCs w:val="22"/>
        </w:rPr>
        <w:t>% content of the blood</w:t>
      </w:r>
    </w:p>
    <w:p w:rsidR="00802AE5" w:rsidRPr="003B6573" w:rsidRDefault="00802AE5" w:rsidP="00802AE5">
      <w:pPr>
        <w:rPr>
          <w:rFonts w:ascii="Arial" w:hAnsi="Arial" w:cs="Arial"/>
          <w:sz w:val="22"/>
          <w:szCs w:val="22"/>
        </w:rPr>
      </w:pPr>
      <w:r w:rsidRPr="003B6573">
        <w:rPr>
          <w:rFonts w:ascii="Arial" w:hAnsi="Arial" w:cs="Arial"/>
          <w:sz w:val="22"/>
          <w:szCs w:val="22"/>
        </w:rPr>
        <w:t xml:space="preserve">“Top up” transfusions are generally required to achieve the first aim. Exchange blood transfusions usually achieve the second goal. </w:t>
      </w:r>
    </w:p>
    <w:p w:rsidR="00802AE5" w:rsidRPr="003B6573" w:rsidRDefault="00802AE5" w:rsidP="00802AE5">
      <w:pPr>
        <w:rPr>
          <w:rFonts w:ascii="Arial" w:hAnsi="Arial" w:cs="Arial"/>
          <w:sz w:val="22"/>
          <w:szCs w:val="22"/>
        </w:rPr>
      </w:pPr>
    </w:p>
    <w:p w:rsidR="00802AE5" w:rsidRPr="003B6573" w:rsidRDefault="00802AE5" w:rsidP="00802AE5">
      <w:pPr>
        <w:pStyle w:val="ListParagraph"/>
        <w:rPr>
          <w:rFonts w:ascii="Arial" w:hAnsi="Arial" w:cs="Arial"/>
          <w:sz w:val="22"/>
          <w:szCs w:val="22"/>
        </w:rPr>
      </w:pPr>
      <w:r w:rsidRPr="003B6573">
        <w:rPr>
          <w:rFonts w:ascii="Arial" w:hAnsi="Arial" w:cs="Arial"/>
          <w:sz w:val="22"/>
          <w:szCs w:val="22"/>
        </w:rPr>
        <w:t xml:space="preserve">All </w:t>
      </w:r>
      <w:r w:rsidRPr="003B6573">
        <w:rPr>
          <w:rFonts w:ascii="Arial" w:hAnsi="Arial" w:cs="Arial"/>
          <w:b/>
          <w:sz w:val="22"/>
          <w:szCs w:val="22"/>
        </w:rPr>
        <w:t>unplanned transfusions</w:t>
      </w:r>
      <w:r w:rsidRPr="003B6573">
        <w:rPr>
          <w:rFonts w:ascii="Arial" w:hAnsi="Arial" w:cs="Arial"/>
          <w:sz w:val="22"/>
          <w:szCs w:val="22"/>
        </w:rPr>
        <w:t xml:space="preserve"> for patients with sickle cell disease must be discussed with the haematology team caring for the patient. In patients with sickle cell disease, mild anaemia does not usually require correction by blood transfusion</w:t>
      </w:r>
    </w:p>
    <w:p w:rsidR="00802AE5" w:rsidRPr="003B6573" w:rsidRDefault="00802AE5" w:rsidP="00802AE5">
      <w:pPr>
        <w:pStyle w:val="ListParagraph"/>
        <w:rPr>
          <w:rFonts w:ascii="Arial" w:hAnsi="Arial" w:cs="Arial"/>
          <w:sz w:val="22"/>
          <w:szCs w:val="22"/>
        </w:rPr>
      </w:pPr>
    </w:p>
    <w:p w:rsidR="00802AE5" w:rsidRPr="003B6573" w:rsidRDefault="00802AE5" w:rsidP="00802AE5">
      <w:pPr>
        <w:rPr>
          <w:rFonts w:ascii="Arial" w:hAnsi="Arial" w:cs="Arial"/>
          <w:sz w:val="22"/>
          <w:szCs w:val="22"/>
        </w:rPr>
      </w:pPr>
      <w:r w:rsidRPr="003B6573">
        <w:rPr>
          <w:rFonts w:ascii="Arial" w:hAnsi="Arial" w:cs="Arial"/>
          <w:sz w:val="22"/>
          <w:szCs w:val="22"/>
        </w:rPr>
        <w:t xml:space="preserve">The </w:t>
      </w:r>
      <w:r w:rsidRPr="003B6573">
        <w:rPr>
          <w:rFonts w:ascii="Arial" w:hAnsi="Arial" w:cs="Arial"/>
          <w:b/>
          <w:sz w:val="22"/>
          <w:szCs w:val="22"/>
        </w:rPr>
        <w:t>blood transfusion laboratory</w:t>
      </w:r>
      <w:r w:rsidRPr="003B6573">
        <w:rPr>
          <w:rFonts w:ascii="Arial" w:hAnsi="Arial" w:cs="Arial"/>
          <w:sz w:val="22"/>
          <w:szCs w:val="22"/>
        </w:rPr>
        <w:t xml:space="preserve"> must be made aware that the recipient patient has sickle cell disease or </w:t>
      </w:r>
      <w:proofErr w:type="spellStart"/>
      <w:r w:rsidRPr="003B6573">
        <w:rPr>
          <w:rFonts w:ascii="Arial" w:hAnsi="Arial" w:cs="Arial"/>
          <w:sz w:val="22"/>
          <w:szCs w:val="22"/>
        </w:rPr>
        <w:t>thalassaemia</w:t>
      </w:r>
      <w:proofErr w:type="spellEnd"/>
      <w:r w:rsidRPr="003B6573">
        <w:rPr>
          <w:rFonts w:ascii="Arial" w:hAnsi="Arial" w:cs="Arial"/>
          <w:sz w:val="22"/>
          <w:szCs w:val="22"/>
        </w:rPr>
        <w:t xml:space="preserve"> so that extended </w:t>
      </w:r>
      <w:proofErr w:type="spellStart"/>
      <w:r w:rsidRPr="003B6573">
        <w:rPr>
          <w:rFonts w:ascii="Arial" w:hAnsi="Arial" w:cs="Arial"/>
          <w:sz w:val="22"/>
          <w:szCs w:val="22"/>
        </w:rPr>
        <w:t>phenotyping</w:t>
      </w:r>
      <w:proofErr w:type="spellEnd"/>
      <w:r w:rsidRPr="003B6573">
        <w:rPr>
          <w:rFonts w:ascii="Arial" w:hAnsi="Arial" w:cs="Arial"/>
          <w:sz w:val="22"/>
          <w:szCs w:val="22"/>
        </w:rPr>
        <w:t xml:space="preserve"> can be done and appropriately </w:t>
      </w:r>
      <w:proofErr w:type="spellStart"/>
      <w:r w:rsidRPr="003B6573">
        <w:rPr>
          <w:rFonts w:ascii="Arial" w:hAnsi="Arial" w:cs="Arial"/>
          <w:sz w:val="22"/>
          <w:szCs w:val="22"/>
        </w:rPr>
        <w:t>crossmatched</w:t>
      </w:r>
      <w:proofErr w:type="spellEnd"/>
      <w:r w:rsidRPr="003B6573">
        <w:rPr>
          <w:rFonts w:ascii="Arial" w:hAnsi="Arial" w:cs="Arial"/>
          <w:sz w:val="22"/>
          <w:szCs w:val="22"/>
        </w:rPr>
        <w:t xml:space="preserve"> and sickle negative blood can be provided. These patients are not suitable for rapid cross match.</w:t>
      </w:r>
    </w:p>
    <w:p w:rsidR="00802AE5" w:rsidRPr="003B6573" w:rsidRDefault="00802AE5" w:rsidP="00802AE5">
      <w:pPr>
        <w:pStyle w:val="ListParagraph"/>
        <w:rPr>
          <w:rFonts w:ascii="Arial" w:hAnsi="Arial" w:cs="Arial"/>
          <w:sz w:val="22"/>
          <w:szCs w:val="22"/>
        </w:rPr>
      </w:pPr>
    </w:p>
    <w:p w:rsidR="00802AE5" w:rsidRPr="003B6573" w:rsidRDefault="00802AE5" w:rsidP="00802AE5">
      <w:pPr>
        <w:rPr>
          <w:rFonts w:ascii="Arial" w:hAnsi="Arial" w:cs="Arial"/>
          <w:sz w:val="22"/>
          <w:szCs w:val="22"/>
        </w:rPr>
      </w:pPr>
      <w:r w:rsidRPr="003B6573">
        <w:rPr>
          <w:rFonts w:ascii="Arial" w:hAnsi="Arial" w:cs="Arial"/>
          <w:sz w:val="22"/>
          <w:szCs w:val="22"/>
        </w:rPr>
        <w:t xml:space="preserve">All patients with a </w:t>
      </w:r>
      <w:proofErr w:type="spellStart"/>
      <w:r w:rsidRPr="003B6573">
        <w:rPr>
          <w:rFonts w:ascii="Arial" w:hAnsi="Arial" w:cs="Arial"/>
          <w:sz w:val="22"/>
          <w:szCs w:val="22"/>
        </w:rPr>
        <w:t>haemoglobinopathy</w:t>
      </w:r>
      <w:proofErr w:type="spellEnd"/>
      <w:r w:rsidRPr="003B6573">
        <w:rPr>
          <w:rFonts w:ascii="Arial" w:hAnsi="Arial" w:cs="Arial"/>
          <w:sz w:val="22"/>
          <w:szCs w:val="22"/>
        </w:rPr>
        <w:t xml:space="preserve"> should, at their first engagement with the hospital, have a sample sent to the blood transfusion laboratory for a full, extended red cell antigen phenotype (and genotype where possible) as well as the standard ABO and Rh blood group.</w:t>
      </w:r>
    </w:p>
    <w:p w:rsidR="00200884" w:rsidRPr="00200884" w:rsidRDefault="00200884" w:rsidP="00200884">
      <w:pPr>
        <w:pStyle w:val="ListParagraph"/>
        <w:tabs>
          <w:tab w:val="left" w:pos="640"/>
        </w:tabs>
        <w:kinsoku w:val="0"/>
        <w:overflowPunct w:val="0"/>
        <w:spacing w:line="276" w:lineRule="exact"/>
        <w:ind w:left="360" w:right="1"/>
        <w:rPr>
          <w:rFonts w:ascii="Arial" w:hAnsi="Arial" w:cs="Arial"/>
          <w:sz w:val="22"/>
          <w:szCs w:val="22"/>
        </w:rPr>
      </w:pPr>
    </w:p>
    <w:p w:rsidR="00802AE5" w:rsidRPr="003B6573" w:rsidRDefault="00802AE5" w:rsidP="00802AE5">
      <w:pPr>
        <w:spacing w:after="200" w:line="276" w:lineRule="auto"/>
        <w:rPr>
          <w:rFonts w:ascii="Arial" w:hAnsi="Arial" w:cs="Arial"/>
          <w:b/>
          <w:sz w:val="22"/>
          <w:szCs w:val="22"/>
          <w:u w:val="single"/>
        </w:rPr>
      </w:pPr>
      <w:proofErr w:type="gramStart"/>
      <w:r w:rsidRPr="003B6573">
        <w:rPr>
          <w:rFonts w:ascii="Arial" w:hAnsi="Arial" w:cs="Arial"/>
          <w:b/>
          <w:color w:val="1C1D1E"/>
          <w:sz w:val="22"/>
          <w:szCs w:val="22"/>
          <w:u w:val="single"/>
          <w:lang w:val="en"/>
        </w:rPr>
        <w:t>Guidelines on red cell transfusion in sickle cell disease.</w:t>
      </w:r>
      <w:proofErr w:type="gramEnd"/>
      <w:r w:rsidRPr="003B6573">
        <w:rPr>
          <w:rFonts w:ascii="Arial" w:hAnsi="Arial" w:cs="Arial"/>
          <w:b/>
          <w:color w:val="1C1D1E"/>
          <w:sz w:val="22"/>
          <w:szCs w:val="22"/>
          <w:u w:val="single"/>
          <w:lang w:val="en"/>
        </w:rPr>
        <w:t xml:space="preserve"> Part I: principles and laboratory aspects</w:t>
      </w:r>
      <w:r w:rsidRPr="003B6573">
        <w:rPr>
          <w:rFonts w:ascii="Arial" w:hAnsi="Arial" w:cs="Arial"/>
          <w:b/>
          <w:sz w:val="22"/>
          <w:szCs w:val="22"/>
          <w:u w:val="single"/>
        </w:rPr>
        <w:t xml:space="preserve"> (BSH) – Summary of Key Recommendations (November 2016)</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The </w:t>
      </w:r>
      <w:proofErr w:type="gramStart"/>
      <w:r w:rsidRPr="002D16C0">
        <w:rPr>
          <w:rFonts w:ascii="Arial" w:hAnsi="Arial" w:cs="Arial"/>
          <w:bCs/>
          <w:color w:val="1C1D1E"/>
          <w:sz w:val="22"/>
          <w:szCs w:val="22"/>
          <w:lang w:val="en"/>
        </w:rPr>
        <w:t>decision to top up or exchange transfuse</w:t>
      </w:r>
      <w:proofErr w:type="gramEnd"/>
      <w:r w:rsidRPr="002D16C0">
        <w:rPr>
          <w:rFonts w:ascii="Arial" w:hAnsi="Arial" w:cs="Arial"/>
          <w:bCs/>
          <w:color w:val="1C1D1E"/>
          <w:sz w:val="22"/>
          <w:szCs w:val="22"/>
          <w:lang w:val="en"/>
        </w:rPr>
        <w:t xml:space="preserve"> an adult or </w:t>
      </w:r>
      <w:proofErr w:type="spellStart"/>
      <w:r w:rsidRPr="002D16C0">
        <w:rPr>
          <w:rFonts w:ascii="Arial" w:hAnsi="Arial" w:cs="Arial"/>
          <w:bCs/>
          <w:color w:val="1C1D1E"/>
          <w:sz w:val="22"/>
          <w:szCs w:val="22"/>
          <w:lang w:val="en"/>
        </w:rPr>
        <w:t>paediatric</w:t>
      </w:r>
      <w:proofErr w:type="spellEnd"/>
      <w:r w:rsidRPr="002D16C0">
        <w:rPr>
          <w:rFonts w:ascii="Arial" w:hAnsi="Arial" w:cs="Arial"/>
          <w:bCs/>
          <w:color w:val="1C1D1E"/>
          <w:sz w:val="22"/>
          <w:szCs w:val="22"/>
          <w:lang w:val="en"/>
        </w:rPr>
        <w:t xml:space="preserve"> patient with sickle cell disease (SCD) needs the input of a clinician with appropriate experience. Specialist advice should be obtained for the management of patients with complex transfusion requirements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Transfusion in SCD requires careful consideration of both the </w:t>
      </w:r>
      <w:proofErr w:type="spellStart"/>
      <w:r w:rsidRPr="002D16C0">
        <w:rPr>
          <w:rFonts w:ascii="Arial" w:hAnsi="Arial" w:cs="Arial"/>
          <w:bCs/>
          <w:color w:val="1C1D1E"/>
          <w:sz w:val="22"/>
          <w:szCs w:val="22"/>
          <w:lang w:val="en"/>
        </w:rPr>
        <w:t>haemoglobin</w:t>
      </w:r>
      <w:proofErr w:type="spellEnd"/>
      <w:r w:rsidRPr="002D16C0">
        <w:rPr>
          <w:rFonts w:ascii="Arial" w:hAnsi="Arial" w:cs="Arial"/>
          <w:bCs/>
          <w:color w:val="1C1D1E"/>
          <w:sz w:val="22"/>
          <w:szCs w:val="22"/>
          <w:lang w:val="en"/>
        </w:rPr>
        <w:t xml:space="preserve"> concentration (</w:t>
      </w:r>
      <w:proofErr w:type="spellStart"/>
      <w:r w:rsidRPr="002D16C0">
        <w:rPr>
          <w:rFonts w:ascii="Arial" w:hAnsi="Arial" w:cs="Arial"/>
          <w:bCs/>
          <w:color w:val="1C1D1E"/>
          <w:sz w:val="22"/>
          <w:szCs w:val="22"/>
          <w:lang w:val="en"/>
        </w:rPr>
        <w:t>Hb</w:t>
      </w:r>
      <w:proofErr w:type="spellEnd"/>
      <w:r w:rsidRPr="002D16C0">
        <w:rPr>
          <w:rFonts w:ascii="Arial" w:hAnsi="Arial" w:cs="Arial"/>
          <w:bCs/>
          <w:color w:val="1C1D1E"/>
          <w:sz w:val="22"/>
          <w:szCs w:val="22"/>
          <w:lang w:val="en"/>
        </w:rPr>
        <w:t xml:space="preserve">) and/or percentage of sickle </w:t>
      </w:r>
      <w:proofErr w:type="spellStart"/>
      <w:r w:rsidRPr="002D16C0">
        <w:rPr>
          <w:rFonts w:ascii="Arial" w:hAnsi="Arial" w:cs="Arial"/>
          <w:bCs/>
          <w:color w:val="1C1D1E"/>
          <w:sz w:val="22"/>
          <w:szCs w:val="22"/>
          <w:lang w:val="en"/>
        </w:rPr>
        <w:t>haemoglobin</w:t>
      </w:r>
      <w:proofErr w:type="spellEnd"/>
      <w:r w:rsidRPr="002D16C0">
        <w:rPr>
          <w:rFonts w:ascii="Arial" w:hAnsi="Arial" w:cs="Arial"/>
          <w:bCs/>
          <w:color w:val="1C1D1E"/>
          <w:sz w:val="22"/>
          <w:szCs w:val="22"/>
          <w:lang w:val="en"/>
        </w:rPr>
        <w:t xml:space="preserve"> (%</w:t>
      </w:r>
      <w:proofErr w:type="spellStart"/>
      <w:r w:rsidRPr="002D16C0">
        <w:rPr>
          <w:rFonts w:ascii="Arial" w:hAnsi="Arial" w:cs="Arial"/>
          <w:bCs/>
          <w:color w:val="1C1D1E"/>
          <w:sz w:val="22"/>
          <w:szCs w:val="22"/>
          <w:lang w:val="en"/>
        </w:rPr>
        <w:t>HbS</w:t>
      </w:r>
      <w:proofErr w:type="spellEnd"/>
      <w:r w:rsidRPr="002D16C0">
        <w:rPr>
          <w:rFonts w:ascii="Arial" w:hAnsi="Arial" w:cs="Arial"/>
          <w:bCs/>
          <w:color w:val="1C1D1E"/>
          <w:sz w:val="22"/>
          <w:szCs w:val="22"/>
          <w:lang w:val="en"/>
        </w:rPr>
        <w:t xml:space="preserve">) in order to ensure maximal oxygen delivery to tissues without increasing overall blood viscosity to detrimental levels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A transfusion history should be obtained in all SCD patients requiring transfusion, whether elective or emergency. Close communication is essential between clinical and laboratory teams so that appropriate blood is given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Individuals with SCD are high</w:t>
      </w:r>
      <w:r w:rsidRPr="002D16C0">
        <w:rPr>
          <w:rFonts w:ascii="Cambria Math" w:hAnsi="Cambria Math" w:cs="Cambria Math"/>
          <w:bCs/>
          <w:color w:val="1C1D1E"/>
          <w:sz w:val="22"/>
          <w:szCs w:val="22"/>
          <w:lang w:val="en"/>
        </w:rPr>
        <w:t>‐</w:t>
      </w:r>
      <w:r w:rsidRPr="002D16C0">
        <w:rPr>
          <w:rFonts w:ascii="Arial" w:hAnsi="Arial" w:cs="Arial"/>
          <w:bCs/>
          <w:color w:val="1C1D1E"/>
          <w:sz w:val="22"/>
          <w:szCs w:val="22"/>
          <w:lang w:val="en"/>
        </w:rPr>
        <w:t xml:space="preserve">risk surgical patients. Close liaison between all clinical teams is essential with preoperative </w:t>
      </w:r>
      <w:proofErr w:type="spellStart"/>
      <w:r w:rsidRPr="002D16C0">
        <w:rPr>
          <w:rFonts w:ascii="Arial" w:hAnsi="Arial" w:cs="Arial"/>
          <w:bCs/>
          <w:color w:val="1C1D1E"/>
          <w:sz w:val="22"/>
          <w:szCs w:val="22"/>
          <w:lang w:val="en"/>
        </w:rPr>
        <w:t>optimisation</w:t>
      </w:r>
      <w:proofErr w:type="spellEnd"/>
      <w:r w:rsidRPr="002D16C0">
        <w:rPr>
          <w:rFonts w:ascii="Arial" w:hAnsi="Arial" w:cs="Arial"/>
          <w:bCs/>
          <w:color w:val="1C1D1E"/>
          <w:sz w:val="22"/>
          <w:szCs w:val="22"/>
          <w:lang w:val="en"/>
        </w:rPr>
        <w:t xml:space="preserve"> and appropriate postoperative care, whether transfused or not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Virology testing [hepatitis B, hepatitis C and human immunodeficiency virus (HIV)] should be undertaken at presentation and hepatitis B vaccination should be given to all patients with SCD, irrespective of previous or prospective planned transfusions. SCD patients on regular transfusions should be screened annually for hepatitis B, hepatitis C and HIV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lastRenderedPageBreak/>
        <w:t xml:space="preserve">The choice of transfusion method, i.e., simple (top up) or exchange, should be based on clinical </w:t>
      </w:r>
      <w:proofErr w:type="spellStart"/>
      <w:r w:rsidRPr="002D16C0">
        <w:rPr>
          <w:rFonts w:ascii="Arial" w:hAnsi="Arial" w:cs="Arial"/>
          <w:bCs/>
          <w:color w:val="1C1D1E"/>
          <w:sz w:val="22"/>
          <w:szCs w:val="22"/>
          <w:lang w:val="en"/>
        </w:rPr>
        <w:t>judgement</w:t>
      </w:r>
      <w:proofErr w:type="spellEnd"/>
      <w:r w:rsidRPr="002D16C0">
        <w:rPr>
          <w:rFonts w:ascii="Arial" w:hAnsi="Arial" w:cs="Arial"/>
          <w:bCs/>
          <w:color w:val="1C1D1E"/>
          <w:sz w:val="22"/>
          <w:szCs w:val="22"/>
          <w:lang w:val="en"/>
        </w:rPr>
        <w:t xml:space="preserve"> of individual cases, taking into account the indication for transfusion, the need to avoid </w:t>
      </w:r>
      <w:proofErr w:type="spellStart"/>
      <w:r w:rsidRPr="002D16C0">
        <w:rPr>
          <w:rFonts w:ascii="Arial" w:hAnsi="Arial" w:cs="Arial"/>
          <w:bCs/>
          <w:color w:val="1C1D1E"/>
          <w:sz w:val="22"/>
          <w:szCs w:val="22"/>
          <w:lang w:val="en"/>
        </w:rPr>
        <w:t>hyperviscosity</w:t>
      </w:r>
      <w:proofErr w:type="spellEnd"/>
      <w:r w:rsidRPr="002D16C0">
        <w:rPr>
          <w:rFonts w:ascii="Arial" w:hAnsi="Arial" w:cs="Arial"/>
          <w:bCs/>
          <w:color w:val="1C1D1E"/>
          <w:sz w:val="22"/>
          <w:szCs w:val="22"/>
          <w:lang w:val="en"/>
        </w:rPr>
        <w:t xml:space="preserve"> and </w:t>
      </w:r>
      <w:proofErr w:type="spellStart"/>
      <w:r w:rsidRPr="002D16C0">
        <w:rPr>
          <w:rFonts w:ascii="Arial" w:hAnsi="Arial" w:cs="Arial"/>
          <w:bCs/>
          <w:color w:val="1C1D1E"/>
          <w:sz w:val="22"/>
          <w:szCs w:val="22"/>
          <w:lang w:val="en"/>
        </w:rPr>
        <w:t>minimise</w:t>
      </w:r>
      <w:proofErr w:type="spellEnd"/>
      <w:r w:rsidRPr="002D16C0">
        <w:rPr>
          <w:rFonts w:ascii="Arial" w:hAnsi="Arial" w:cs="Arial"/>
          <w:bCs/>
          <w:color w:val="1C1D1E"/>
          <w:sz w:val="22"/>
          <w:szCs w:val="22"/>
          <w:lang w:val="en"/>
        </w:rPr>
        <w:t xml:space="preserve"> </w:t>
      </w:r>
      <w:proofErr w:type="spellStart"/>
      <w:r w:rsidRPr="002D16C0">
        <w:rPr>
          <w:rFonts w:ascii="Arial" w:hAnsi="Arial" w:cs="Arial"/>
          <w:bCs/>
          <w:color w:val="1C1D1E"/>
          <w:sz w:val="22"/>
          <w:szCs w:val="22"/>
          <w:lang w:val="en"/>
        </w:rPr>
        <w:t>alloimmunisation</w:t>
      </w:r>
      <w:proofErr w:type="spellEnd"/>
      <w:r w:rsidRPr="002D16C0">
        <w:rPr>
          <w:rFonts w:ascii="Arial" w:hAnsi="Arial" w:cs="Arial"/>
          <w:bCs/>
          <w:color w:val="1C1D1E"/>
          <w:sz w:val="22"/>
          <w:szCs w:val="22"/>
          <w:lang w:val="en"/>
        </w:rPr>
        <w:t xml:space="preserve">, maintenance of iron balance, venous access issues and available resources </w:t>
      </w:r>
      <w:r w:rsidRPr="002D16C0">
        <w:rPr>
          <w:rFonts w:ascii="Arial" w:hAnsi="Arial" w:cs="Arial"/>
          <w:color w:val="1C1D1E"/>
          <w:sz w:val="22"/>
          <w:szCs w:val="22"/>
          <w:lang w:val="en"/>
        </w:rPr>
        <w:t xml:space="preserve">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All hospitals that are likely to admit SCD patients should have staff trained in manual exchange procedures and clearly identified manual exchange procedures, as this can be lifesaving in emergency situations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Large referral </w:t>
      </w:r>
      <w:proofErr w:type="spellStart"/>
      <w:r w:rsidRPr="002D16C0">
        <w:rPr>
          <w:rFonts w:ascii="Arial" w:hAnsi="Arial" w:cs="Arial"/>
          <w:bCs/>
          <w:color w:val="1C1D1E"/>
          <w:sz w:val="22"/>
          <w:szCs w:val="22"/>
          <w:lang w:val="en"/>
        </w:rPr>
        <w:t>centres</w:t>
      </w:r>
      <w:proofErr w:type="spellEnd"/>
      <w:r w:rsidRPr="002D16C0">
        <w:rPr>
          <w:rFonts w:ascii="Arial" w:hAnsi="Arial" w:cs="Arial"/>
          <w:bCs/>
          <w:color w:val="1C1D1E"/>
          <w:sz w:val="22"/>
          <w:szCs w:val="22"/>
          <w:lang w:val="en"/>
        </w:rPr>
        <w:t xml:space="preserve"> managing patients with SCD should have facilities and trained staff for automated exchange transfusion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If transfusion is needed, patients with SCD should be given ABO</w:t>
      </w:r>
      <w:r w:rsidRPr="002D16C0">
        <w:rPr>
          <w:rFonts w:ascii="Cambria Math" w:hAnsi="Cambria Math" w:cs="Cambria Math"/>
          <w:bCs/>
          <w:color w:val="1C1D1E"/>
          <w:sz w:val="22"/>
          <w:szCs w:val="22"/>
          <w:lang w:val="en"/>
        </w:rPr>
        <w:t>‐</w:t>
      </w:r>
      <w:r w:rsidRPr="002D16C0">
        <w:rPr>
          <w:rFonts w:ascii="Arial" w:hAnsi="Arial" w:cs="Arial"/>
          <w:bCs/>
          <w:color w:val="1C1D1E"/>
          <w:sz w:val="22"/>
          <w:szCs w:val="22"/>
          <w:lang w:val="en"/>
        </w:rPr>
        <w:t>compatible, extended Rh</w:t>
      </w:r>
      <w:r w:rsidRPr="002D16C0">
        <w:rPr>
          <w:rFonts w:ascii="Cambria Math" w:hAnsi="Cambria Math" w:cs="Cambria Math"/>
          <w:bCs/>
          <w:color w:val="1C1D1E"/>
          <w:sz w:val="22"/>
          <w:szCs w:val="22"/>
          <w:lang w:val="en"/>
        </w:rPr>
        <w:t>‐</w:t>
      </w:r>
      <w:r w:rsidRPr="002D16C0">
        <w:rPr>
          <w:rFonts w:ascii="Arial" w:hAnsi="Arial" w:cs="Arial"/>
          <w:bCs/>
          <w:color w:val="1C1D1E"/>
          <w:sz w:val="22"/>
          <w:szCs w:val="22"/>
          <w:lang w:val="en"/>
        </w:rPr>
        <w:t xml:space="preserve"> and </w:t>
      </w:r>
      <w:proofErr w:type="spellStart"/>
      <w:r w:rsidRPr="002D16C0">
        <w:rPr>
          <w:rFonts w:ascii="Arial" w:hAnsi="Arial" w:cs="Arial"/>
          <w:bCs/>
          <w:color w:val="1C1D1E"/>
          <w:sz w:val="22"/>
          <w:szCs w:val="22"/>
          <w:lang w:val="en"/>
        </w:rPr>
        <w:t>Kell</w:t>
      </w:r>
      <w:proofErr w:type="spellEnd"/>
      <w:r w:rsidRPr="002D16C0">
        <w:rPr>
          <w:rFonts w:ascii="Cambria Math" w:hAnsi="Cambria Math" w:cs="Cambria Math"/>
          <w:bCs/>
          <w:color w:val="1C1D1E"/>
          <w:sz w:val="22"/>
          <w:szCs w:val="22"/>
          <w:lang w:val="en"/>
        </w:rPr>
        <w:t>‐</w:t>
      </w:r>
      <w:r w:rsidRPr="002D16C0">
        <w:rPr>
          <w:rFonts w:ascii="Arial" w:hAnsi="Arial" w:cs="Arial"/>
          <w:bCs/>
          <w:color w:val="1C1D1E"/>
          <w:sz w:val="22"/>
          <w:szCs w:val="22"/>
          <w:lang w:val="en"/>
        </w:rPr>
        <w:t xml:space="preserve">matched units. If there are clinically significant red cell antibodies (current or historical) then the red cells selected should be negative for the corresponding antigens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Patients with SCD must also have extended red blood cell (RBC) antigen typing performed, which may assist with further serological testing and selection of red cell units if there are </w:t>
      </w:r>
      <w:proofErr w:type="spellStart"/>
      <w:r w:rsidRPr="002D16C0">
        <w:rPr>
          <w:rFonts w:ascii="Arial" w:hAnsi="Arial" w:cs="Arial"/>
          <w:bCs/>
          <w:color w:val="1C1D1E"/>
          <w:sz w:val="22"/>
          <w:szCs w:val="22"/>
          <w:lang w:val="en"/>
        </w:rPr>
        <w:t>haemolytic</w:t>
      </w:r>
      <w:proofErr w:type="spellEnd"/>
      <w:r w:rsidRPr="002D16C0">
        <w:rPr>
          <w:rFonts w:ascii="Arial" w:hAnsi="Arial" w:cs="Arial"/>
          <w:bCs/>
          <w:color w:val="1C1D1E"/>
          <w:sz w:val="22"/>
          <w:szCs w:val="22"/>
          <w:lang w:val="en"/>
        </w:rPr>
        <w:t xml:space="preserve"> reactions and complex transfusion requirements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Blood provided for SCD patients should be </w:t>
      </w:r>
      <w:proofErr w:type="spellStart"/>
      <w:r w:rsidRPr="002D16C0">
        <w:rPr>
          <w:rFonts w:ascii="Arial" w:hAnsi="Arial" w:cs="Arial"/>
          <w:bCs/>
          <w:color w:val="1C1D1E"/>
          <w:sz w:val="22"/>
          <w:szCs w:val="22"/>
          <w:lang w:val="en"/>
        </w:rPr>
        <w:t>HbS</w:t>
      </w:r>
      <w:proofErr w:type="spellEnd"/>
      <w:r w:rsidRPr="002D16C0">
        <w:rPr>
          <w:rFonts w:ascii="Arial" w:hAnsi="Arial" w:cs="Arial"/>
          <w:bCs/>
          <w:color w:val="1C1D1E"/>
          <w:sz w:val="22"/>
          <w:szCs w:val="22"/>
          <w:lang w:val="en"/>
        </w:rPr>
        <w:t xml:space="preserve"> negative and, where possible, should be &lt;10 days old for simple transfusion and &lt;7 days old for exchange transfusion but older blood may be given if the presence of red cell antibodies makes the provision of blood difficult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All patients with SCD should carry a transfusion card indicating that they have ‘special requirement’ and, in particular, giving information of any alloantibody.</w:t>
      </w:r>
      <w:r w:rsidRPr="002D16C0">
        <w:rPr>
          <w:rFonts w:ascii="Arial" w:hAnsi="Arial" w:cs="Arial"/>
          <w:color w:val="1C1D1E"/>
          <w:sz w:val="22"/>
          <w:szCs w:val="22"/>
          <w:lang w:val="en"/>
        </w:rPr>
        <w:t xml:space="preserve">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Patients with multiple red cell alloantibodies or antibodies to rare antigens need a clear agreed plan given that blood may be difficult to source in the elective or emergency setting. Close liaison between all clinical teams, the hospital transfusion laboratory and the national blood service is essential to ensure appropriate provision of blood.</w:t>
      </w:r>
      <w:r w:rsidRPr="002D16C0">
        <w:rPr>
          <w:rFonts w:ascii="Arial" w:hAnsi="Arial" w:cs="Arial"/>
          <w:color w:val="1C1D1E"/>
          <w:sz w:val="22"/>
          <w:szCs w:val="22"/>
          <w:lang w:val="en"/>
        </w:rPr>
        <w:t xml:space="preserve"> </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All clinicians managing patients with SCD should be aware of the risk of </w:t>
      </w:r>
      <w:proofErr w:type="spellStart"/>
      <w:r w:rsidRPr="002D16C0">
        <w:rPr>
          <w:rFonts w:ascii="Arial" w:hAnsi="Arial" w:cs="Arial"/>
          <w:bCs/>
          <w:color w:val="1C1D1E"/>
          <w:sz w:val="22"/>
          <w:szCs w:val="22"/>
          <w:lang w:val="en"/>
        </w:rPr>
        <w:t>haemolytic</w:t>
      </w:r>
      <w:proofErr w:type="spellEnd"/>
      <w:r w:rsidRPr="002D16C0">
        <w:rPr>
          <w:rFonts w:ascii="Arial" w:hAnsi="Arial" w:cs="Arial"/>
          <w:bCs/>
          <w:color w:val="1C1D1E"/>
          <w:sz w:val="22"/>
          <w:szCs w:val="22"/>
          <w:lang w:val="en"/>
        </w:rPr>
        <w:t xml:space="preserve"> transfusion reactions to ensure prompt recognition and management. Close liaison is needed with </w:t>
      </w:r>
      <w:proofErr w:type="spellStart"/>
      <w:r w:rsidRPr="002D16C0">
        <w:rPr>
          <w:rFonts w:ascii="Arial" w:hAnsi="Arial" w:cs="Arial"/>
          <w:bCs/>
          <w:color w:val="1C1D1E"/>
          <w:sz w:val="22"/>
          <w:szCs w:val="22"/>
          <w:lang w:val="en"/>
        </w:rPr>
        <w:t>haemoglobinopathy</w:t>
      </w:r>
      <w:proofErr w:type="spellEnd"/>
      <w:r w:rsidRPr="002D16C0">
        <w:rPr>
          <w:rFonts w:ascii="Arial" w:hAnsi="Arial" w:cs="Arial"/>
          <w:bCs/>
          <w:color w:val="1C1D1E"/>
          <w:sz w:val="22"/>
          <w:szCs w:val="22"/>
          <w:lang w:val="en"/>
        </w:rPr>
        <w:t xml:space="preserve"> specialists and blood services for investigation and management.</w:t>
      </w:r>
    </w:p>
    <w:p w:rsidR="00802AE5" w:rsidRPr="002D16C0" w:rsidRDefault="00802AE5" w:rsidP="002D16C0">
      <w:pPr>
        <w:pStyle w:val="ListParagraph"/>
        <w:numPr>
          <w:ilvl w:val="0"/>
          <w:numId w:val="31"/>
        </w:numPr>
        <w:spacing w:after="240"/>
        <w:rPr>
          <w:rFonts w:ascii="Arial" w:hAnsi="Arial" w:cs="Arial"/>
          <w:color w:val="1C1D1E"/>
          <w:sz w:val="22"/>
          <w:szCs w:val="22"/>
          <w:lang w:val="en"/>
        </w:rPr>
      </w:pPr>
      <w:r w:rsidRPr="002D16C0">
        <w:rPr>
          <w:rFonts w:ascii="Arial" w:hAnsi="Arial" w:cs="Arial"/>
          <w:bCs/>
          <w:color w:val="1C1D1E"/>
          <w:sz w:val="22"/>
          <w:szCs w:val="22"/>
          <w:lang w:val="en"/>
        </w:rPr>
        <w:t xml:space="preserve">Any adverse events or reactions related to transfusion should be appropriately investigated and reported to local risk management systems and to UK </w:t>
      </w:r>
      <w:proofErr w:type="spellStart"/>
      <w:r w:rsidRPr="002D16C0">
        <w:rPr>
          <w:rFonts w:ascii="Arial" w:hAnsi="Arial" w:cs="Arial"/>
          <w:bCs/>
          <w:color w:val="1C1D1E"/>
          <w:sz w:val="22"/>
          <w:szCs w:val="22"/>
          <w:lang w:val="en"/>
        </w:rPr>
        <w:t>Haemovigilance</w:t>
      </w:r>
      <w:proofErr w:type="spellEnd"/>
      <w:r w:rsidRPr="002D16C0">
        <w:rPr>
          <w:rFonts w:ascii="Arial" w:hAnsi="Arial" w:cs="Arial"/>
          <w:bCs/>
          <w:color w:val="1C1D1E"/>
          <w:sz w:val="22"/>
          <w:szCs w:val="22"/>
          <w:lang w:val="en"/>
        </w:rPr>
        <w:t xml:space="preserve"> Schemes </w:t>
      </w:r>
    </w:p>
    <w:p w:rsidR="00802AE5" w:rsidRPr="003B6573" w:rsidRDefault="00802AE5" w:rsidP="00802AE5">
      <w:pPr>
        <w:spacing w:after="200" w:line="276" w:lineRule="auto"/>
        <w:rPr>
          <w:rFonts w:ascii="Arial" w:hAnsi="Arial" w:cs="Arial"/>
          <w:b/>
          <w:sz w:val="22"/>
          <w:szCs w:val="22"/>
          <w:u w:val="single"/>
        </w:rPr>
      </w:pPr>
      <w:r w:rsidRPr="003B6573">
        <w:rPr>
          <w:rFonts w:ascii="Arial" w:hAnsi="Arial" w:cs="Arial"/>
          <w:b/>
          <w:sz w:val="22"/>
          <w:szCs w:val="22"/>
          <w:u w:val="single"/>
        </w:rPr>
        <w:br w:type="page"/>
      </w:r>
    </w:p>
    <w:p w:rsidR="00802AE5" w:rsidRPr="003B6573" w:rsidRDefault="000F2EF9" w:rsidP="00802AE5">
      <w:pPr>
        <w:spacing w:after="200" w:line="276" w:lineRule="auto"/>
        <w:rPr>
          <w:rFonts w:ascii="Arial" w:hAnsi="Arial" w:cs="Arial"/>
          <w:b/>
          <w:sz w:val="22"/>
          <w:szCs w:val="22"/>
          <w:u w:val="single"/>
        </w:rPr>
      </w:pPr>
      <w:r>
        <w:rPr>
          <w:rFonts w:ascii="Arial" w:hAnsi="Arial" w:cs="Arial"/>
          <w:b/>
          <w:sz w:val="22"/>
          <w:szCs w:val="22"/>
          <w:u w:val="single"/>
        </w:rPr>
        <w:lastRenderedPageBreak/>
        <w:t xml:space="preserve">6.2 </w:t>
      </w:r>
      <w:r w:rsidR="00802AE5" w:rsidRPr="003B6573">
        <w:rPr>
          <w:rFonts w:ascii="Arial" w:hAnsi="Arial" w:cs="Arial"/>
          <w:b/>
          <w:sz w:val="22"/>
          <w:szCs w:val="22"/>
          <w:u w:val="single"/>
        </w:rPr>
        <w:t>I</w:t>
      </w:r>
      <w:r>
        <w:rPr>
          <w:rFonts w:ascii="Arial" w:hAnsi="Arial" w:cs="Arial"/>
          <w:b/>
          <w:sz w:val="22"/>
          <w:szCs w:val="22"/>
          <w:u w:val="single"/>
        </w:rPr>
        <w:t xml:space="preserve">ndications for Top </w:t>
      </w:r>
      <w:proofErr w:type="gramStart"/>
      <w:r>
        <w:rPr>
          <w:rFonts w:ascii="Arial" w:hAnsi="Arial" w:cs="Arial"/>
          <w:b/>
          <w:sz w:val="22"/>
          <w:szCs w:val="22"/>
          <w:u w:val="single"/>
        </w:rPr>
        <w:t>Up</w:t>
      </w:r>
      <w:proofErr w:type="gramEnd"/>
      <w:r>
        <w:rPr>
          <w:rFonts w:ascii="Arial" w:hAnsi="Arial" w:cs="Arial"/>
          <w:b/>
          <w:sz w:val="22"/>
          <w:szCs w:val="22"/>
          <w:u w:val="single"/>
        </w:rPr>
        <w:t xml:space="preserve"> Transfusions</w:t>
      </w:r>
    </w:p>
    <w:p w:rsidR="00802AE5" w:rsidRPr="003B6573" w:rsidRDefault="00802AE5" w:rsidP="00802AE5">
      <w:pPr>
        <w:rPr>
          <w:rFonts w:ascii="Arial" w:hAnsi="Arial" w:cs="Arial"/>
          <w:sz w:val="22"/>
          <w:szCs w:val="22"/>
          <w:u w:val="single"/>
        </w:rPr>
      </w:pPr>
    </w:p>
    <w:p w:rsidR="00802AE5" w:rsidRPr="003B6573" w:rsidRDefault="00802AE5" w:rsidP="00802AE5">
      <w:pPr>
        <w:rPr>
          <w:rFonts w:ascii="Arial" w:hAnsi="Arial" w:cs="Arial"/>
          <w:sz w:val="22"/>
          <w:szCs w:val="22"/>
          <w:u w:val="single"/>
        </w:rPr>
      </w:pPr>
      <w:r w:rsidRPr="003B6573">
        <w:rPr>
          <w:rFonts w:ascii="Arial" w:hAnsi="Arial" w:cs="Arial"/>
          <w:sz w:val="22"/>
          <w:szCs w:val="22"/>
        </w:rPr>
        <w:tab/>
      </w:r>
      <w:r w:rsidRPr="003B6573">
        <w:rPr>
          <w:rFonts w:ascii="Arial" w:hAnsi="Arial" w:cs="Arial"/>
          <w:sz w:val="22"/>
          <w:szCs w:val="22"/>
          <w:u w:val="single"/>
        </w:rPr>
        <w:t>SICKLE CELL DISEASE</w:t>
      </w:r>
    </w:p>
    <w:p w:rsidR="00802AE5" w:rsidRPr="003B6573" w:rsidRDefault="00802AE5" w:rsidP="00802AE5">
      <w:pPr>
        <w:rPr>
          <w:rFonts w:ascii="Arial" w:hAnsi="Arial" w:cs="Arial"/>
          <w:sz w:val="22"/>
          <w:szCs w:val="22"/>
        </w:rPr>
      </w:pPr>
    </w:p>
    <w:p w:rsidR="00802AE5" w:rsidRPr="003B6573" w:rsidRDefault="00802AE5" w:rsidP="00802AE5">
      <w:pPr>
        <w:pStyle w:val="ListParagraph"/>
        <w:widowControl/>
        <w:numPr>
          <w:ilvl w:val="0"/>
          <w:numId w:val="23"/>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Symptomatic  anaemia (</w:t>
      </w:r>
      <w:proofErr w:type="spellStart"/>
      <w:r w:rsidRPr="003B6573">
        <w:rPr>
          <w:rFonts w:ascii="Arial" w:hAnsi="Arial" w:cs="Arial"/>
          <w:sz w:val="22"/>
          <w:szCs w:val="22"/>
        </w:rPr>
        <w:t>eg</w:t>
      </w:r>
      <w:proofErr w:type="spellEnd"/>
      <w:r w:rsidRPr="003B6573">
        <w:rPr>
          <w:rFonts w:ascii="Arial" w:hAnsi="Arial" w:cs="Arial"/>
          <w:sz w:val="22"/>
          <w:szCs w:val="22"/>
        </w:rPr>
        <w:t xml:space="preserve"> haemolysis, sequestration, acute parvovirus infection)</w:t>
      </w:r>
    </w:p>
    <w:p w:rsidR="00802AE5" w:rsidRPr="003B6573" w:rsidRDefault="00802AE5" w:rsidP="00802AE5">
      <w:pPr>
        <w:pStyle w:val="ListParagraph"/>
        <w:widowControl/>
        <w:numPr>
          <w:ilvl w:val="0"/>
          <w:numId w:val="23"/>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 xml:space="preserve">Consider if </w:t>
      </w:r>
      <w:proofErr w:type="spellStart"/>
      <w:r w:rsidRPr="003B6573">
        <w:rPr>
          <w:rFonts w:ascii="Arial" w:hAnsi="Arial" w:cs="Arial"/>
          <w:sz w:val="22"/>
          <w:szCs w:val="22"/>
        </w:rPr>
        <w:t>Hb</w:t>
      </w:r>
      <w:proofErr w:type="spellEnd"/>
      <w:r w:rsidRPr="003B6573">
        <w:rPr>
          <w:rFonts w:ascii="Arial" w:hAnsi="Arial" w:cs="Arial"/>
          <w:sz w:val="22"/>
          <w:szCs w:val="22"/>
        </w:rPr>
        <w:t xml:space="preserve"> &lt;60g/L or if fall from baseline is greater than 20g/L</w:t>
      </w:r>
    </w:p>
    <w:p w:rsidR="00802AE5" w:rsidRPr="003B6573" w:rsidRDefault="00802AE5" w:rsidP="00802AE5">
      <w:pPr>
        <w:pStyle w:val="ListParagraph"/>
        <w:widowControl/>
        <w:numPr>
          <w:ilvl w:val="0"/>
          <w:numId w:val="23"/>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Before surgery in some cases in discussion with the sickle cell team and as per their preoperative surgical plan</w:t>
      </w:r>
    </w:p>
    <w:p w:rsidR="00802AE5" w:rsidRPr="003B6573" w:rsidRDefault="00802AE5" w:rsidP="00802AE5">
      <w:pPr>
        <w:rPr>
          <w:rFonts w:ascii="Arial" w:hAnsi="Arial" w:cs="Arial"/>
          <w:sz w:val="22"/>
          <w:szCs w:val="22"/>
        </w:rPr>
      </w:pPr>
      <w:r w:rsidRPr="00F236DF">
        <w:rPr>
          <w:rFonts w:ascii="Arial" w:hAnsi="Arial" w:cs="Arial"/>
          <w:sz w:val="22"/>
          <w:szCs w:val="22"/>
          <w:u w:val="single"/>
        </w:rPr>
        <w:t>In patients with SCD</w:t>
      </w:r>
      <w:r w:rsidRPr="003B6573">
        <w:rPr>
          <w:rFonts w:ascii="Arial" w:hAnsi="Arial" w:cs="Arial"/>
          <w:sz w:val="22"/>
          <w:szCs w:val="22"/>
        </w:rPr>
        <w:t xml:space="preserve"> who have an </w:t>
      </w:r>
      <w:proofErr w:type="spellStart"/>
      <w:r w:rsidRPr="003B6573">
        <w:rPr>
          <w:rFonts w:ascii="Arial" w:hAnsi="Arial" w:cs="Arial"/>
          <w:sz w:val="22"/>
          <w:szCs w:val="22"/>
        </w:rPr>
        <w:t>Hb</w:t>
      </w:r>
      <w:proofErr w:type="spellEnd"/>
      <w:r w:rsidRPr="003B6573">
        <w:rPr>
          <w:rFonts w:ascii="Arial" w:hAnsi="Arial" w:cs="Arial"/>
          <w:sz w:val="22"/>
          <w:szCs w:val="22"/>
        </w:rPr>
        <w:t xml:space="preserve"> &gt;90g/L, top up transfusions should be avoided in patients to avoid the risk of </w:t>
      </w:r>
      <w:proofErr w:type="spellStart"/>
      <w:r w:rsidRPr="003B6573">
        <w:rPr>
          <w:rFonts w:ascii="Arial" w:hAnsi="Arial" w:cs="Arial"/>
          <w:sz w:val="22"/>
          <w:szCs w:val="22"/>
        </w:rPr>
        <w:t>hyperviscosity</w:t>
      </w:r>
      <w:proofErr w:type="spellEnd"/>
      <w:r w:rsidRPr="003B6573">
        <w:rPr>
          <w:rFonts w:ascii="Arial" w:hAnsi="Arial" w:cs="Arial"/>
          <w:sz w:val="22"/>
          <w:szCs w:val="22"/>
        </w:rPr>
        <w:t xml:space="preserve">. The target post-transfusion </w:t>
      </w:r>
      <w:proofErr w:type="spellStart"/>
      <w:r w:rsidRPr="003B6573">
        <w:rPr>
          <w:rFonts w:ascii="Arial" w:hAnsi="Arial" w:cs="Arial"/>
          <w:sz w:val="22"/>
          <w:szCs w:val="22"/>
        </w:rPr>
        <w:t>Hb</w:t>
      </w:r>
      <w:proofErr w:type="spellEnd"/>
      <w:r w:rsidRPr="003B6573">
        <w:rPr>
          <w:rFonts w:ascii="Arial" w:hAnsi="Arial" w:cs="Arial"/>
          <w:sz w:val="22"/>
          <w:szCs w:val="22"/>
        </w:rPr>
        <w:t xml:space="preserve"> </w:t>
      </w:r>
      <w:proofErr w:type="gramStart"/>
      <w:r w:rsidRPr="003B6573">
        <w:rPr>
          <w:rFonts w:ascii="Arial" w:hAnsi="Arial" w:cs="Arial"/>
          <w:sz w:val="22"/>
          <w:szCs w:val="22"/>
        </w:rPr>
        <w:t>should  usually</w:t>
      </w:r>
      <w:proofErr w:type="gramEnd"/>
      <w:r w:rsidRPr="003B6573">
        <w:rPr>
          <w:rFonts w:ascii="Arial" w:hAnsi="Arial" w:cs="Arial"/>
          <w:sz w:val="22"/>
          <w:szCs w:val="22"/>
        </w:rPr>
        <w:t xml:space="preserve"> be around 90-100g/L or the patient’s own baseline </w:t>
      </w:r>
      <w:proofErr w:type="spellStart"/>
      <w:r w:rsidRPr="003B6573">
        <w:rPr>
          <w:rFonts w:ascii="Arial" w:hAnsi="Arial" w:cs="Arial"/>
          <w:sz w:val="22"/>
          <w:szCs w:val="22"/>
        </w:rPr>
        <w:t>Hb</w:t>
      </w:r>
      <w:proofErr w:type="spellEnd"/>
      <w:r w:rsidRPr="003B6573">
        <w:rPr>
          <w:rFonts w:ascii="Arial" w:hAnsi="Arial" w:cs="Arial"/>
          <w:sz w:val="22"/>
          <w:szCs w:val="22"/>
        </w:rPr>
        <w:t>.</w:t>
      </w:r>
    </w:p>
    <w:p w:rsidR="00802AE5" w:rsidRPr="003B6573" w:rsidRDefault="00802AE5" w:rsidP="00802AE5">
      <w:pPr>
        <w:rPr>
          <w:rFonts w:ascii="Arial" w:hAnsi="Arial" w:cs="Arial"/>
          <w:sz w:val="22"/>
          <w:szCs w:val="22"/>
        </w:rPr>
      </w:pPr>
    </w:p>
    <w:p w:rsidR="00802AE5" w:rsidRPr="003B6573" w:rsidRDefault="00F236DF" w:rsidP="00802AE5">
      <w:pPr>
        <w:spacing w:after="200" w:line="276" w:lineRule="auto"/>
        <w:rPr>
          <w:rFonts w:ascii="Arial" w:hAnsi="Arial" w:cs="Arial"/>
          <w:b/>
          <w:sz w:val="22"/>
          <w:szCs w:val="22"/>
          <w:u w:val="single"/>
        </w:rPr>
      </w:pPr>
      <w:r w:rsidRPr="00F236DF">
        <w:rPr>
          <w:rFonts w:ascii="Arial" w:hAnsi="Arial" w:cs="Arial"/>
          <w:sz w:val="22"/>
          <w:szCs w:val="22"/>
        </w:rPr>
        <w:t>Venous access is usually peripheral with the aid of ultrasound guidance and should be achieved within 3 attempts (though if more than once is required regularly this should be escalated). Wherever possible ports and indwelling central lines should be avoided in patients with TDT due to increased risk of line thrombosis and infection</w:t>
      </w:r>
      <w:r>
        <w:rPr>
          <w:rFonts w:ascii="Arial" w:hAnsi="Arial" w:cs="Arial"/>
          <w:b/>
          <w:sz w:val="22"/>
          <w:szCs w:val="22"/>
          <w:u w:val="single"/>
        </w:rPr>
        <w:t xml:space="preserve"> </w:t>
      </w:r>
      <w:r w:rsidR="00802AE5" w:rsidRPr="003B6573">
        <w:rPr>
          <w:rFonts w:ascii="Arial" w:hAnsi="Arial" w:cs="Arial"/>
          <w:b/>
          <w:sz w:val="22"/>
          <w:szCs w:val="22"/>
          <w:u w:val="single"/>
        </w:rPr>
        <w:br w:type="page"/>
      </w:r>
    </w:p>
    <w:p w:rsidR="00802AE5" w:rsidRPr="003B6573" w:rsidRDefault="000F2EF9" w:rsidP="00802AE5">
      <w:pPr>
        <w:spacing w:after="200" w:line="276" w:lineRule="auto"/>
        <w:rPr>
          <w:rFonts w:ascii="Arial" w:hAnsi="Arial" w:cs="Arial"/>
          <w:b/>
          <w:sz w:val="22"/>
          <w:szCs w:val="22"/>
          <w:u w:val="single"/>
        </w:rPr>
      </w:pPr>
      <w:r>
        <w:rPr>
          <w:rFonts w:ascii="Arial" w:hAnsi="Arial" w:cs="Arial"/>
          <w:b/>
          <w:sz w:val="22"/>
          <w:szCs w:val="22"/>
          <w:u w:val="single"/>
        </w:rPr>
        <w:lastRenderedPageBreak/>
        <w:t xml:space="preserve">6.3 </w:t>
      </w:r>
      <w:r w:rsidR="00356A7F">
        <w:rPr>
          <w:rFonts w:ascii="Arial" w:hAnsi="Arial" w:cs="Arial"/>
          <w:b/>
          <w:sz w:val="22"/>
          <w:szCs w:val="22"/>
          <w:u w:val="single"/>
        </w:rPr>
        <w:t>Indications for Elective Exchange Transfusion in</w:t>
      </w:r>
      <w:r w:rsidR="00802AE5" w:rsidRPr="003B6573">
        <w:rPr>
          <w:rFonts w:ascii="Arial" w:hAnsi="Arial" w:cs="Arial"/>
          <w:b/>
          <w:sz w:val="22"/>
          <w:szCs w:val="22"/>
          <w:u w:val="single"/>
        </w:rPr>
        <w:t xml:space="preserve"> SCD</w:t>
      </w:r>
    </w:p>
    <w:p w:rsidR="00802AE5" w:rsidRPr="003B6573" w:rsidRDefault="00802AE5" w:rsidP="00802AE5">
      <w:pPr>
        <w:rPr>
          <w:rFonts w:ascii="Arial" w:hAnsi="Arial" w:cs="Arial"/>
          <w:b/>
          <w:sz w:val="22"/>
          <w:szCs w:val="22"/>
          <w:u w:val="single"/>
        </w:rPr>
      </w:pPr>
    </w:p>
    <w:p w:rsidR="00802AE5" w:rsidRPr="003B6573" w:rsidRDefault="00802AE5" w:rsidP="00802AE5">
      <w:pPr>
        <w:pStyle w:val="ListParagraph"/>
        <w:widowControl/>
        <w:numPr>
          <w:ilvl w:val="0"/>
          <w:numId w:val="24"/>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Secondary stroke prevention</w:t>
      </w:r>
    </w:p>
    <w:p w:rsidR="00802AE5" w:rsidRPr="003B6573" w:rsidRDefault="00802AE5" w:rsidP="00802AE5">
      <w:pPr>
        <w:pStyle w:val="ListParagraph"/>
        <w:widowControl/>
        <w:numPr>
          <w:ilvl w:val="0"/>
          <w:numId w:val="24"/>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Primary stroke prevention (</w:t>
      </w:r>
      <w:proofErr w:type="spellStart"/>
      <w:r w:rsidRPr="003B6573">
        <w:rPr>
          <w:rFonts w:ascii="Arial" w:hAnsi="Arial" w:cs="Arial"/>
          <w:sz w:val="22"/>
          <w:szCs w:val="22"/>
        </w:rPr>
        <w:t>ongoing</w:t>
      </w:r>
      <w:proofErr w:type="spellEnd"/>
      <w:r w:rsidRPr="003B6573">
        <w:rPr>
          <w:rFonts w:ascii="Arial" w:hAnsi="Arial" w:cs="Arial"/>
          <w:sz w:val="22"/>
          <w:szCs w:val="22"/>
        </w:rPr>
        <w:t xml:space="preserve"> transfusion programme from childhood) </w:t>
      </w:r>
    </w:p>
    <w:p w:rsidR="00802AE5" w:rsidRPr="003B6573" w:rsidRDefault="00802AE5" w:rsidP="00802AE5">
      <w:pPr>
        <w:pStyle w:val="ListParagraph"/>
        <w:widowControl/>
        <w:numPr>
          <w:ilvl w:val="0"/>
          <w:numId w:val="24"/>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Before elective surgery after discussion with the haematology team</w:t>
      </w:r>
    </w:p>
    <w:p w:rsidR="00802AE5" w:rsidRPr="003B6573" w:rsidRDefault="00802AE5" w:rsidP="00802AE5">
      <w:pPr>
        <w:ind w:left="360" w:firstLine="360"/>
        <w:rPr>
          <w:rFonts w:ascii="Arial" w:hAnsi="Arial" w:cs="Arial"/>
          <w:i/>
          <w:sz w:val="22"/>
          <w:szCs w:val="22"/>
        </w:rPr>
      </w:pPr>
      <w:r w:rsidRPr="003B6573">
        <w:rPr>
          <w:rFonts w:ascii="Arial" w:hAnsi="Arial" w:cs="Arial"/>
          <w:i/>
          <w:sz w:val="22"/>
          <w:szCs w:val="22"/>
        </w:rPr>
        <w:t>Consider also in</w:t>
      </w:r>
    </w:p>
    <w:p w:rsidR="00802AE5" w:rsidRPr="003B6573" w:rsidRDefault="00802AE5" w:rsidP="00802AE5">
      <w:pPr>
        <w:ind w:left="360" w:firstLine="360"/>
        <w:rPr>
          <w:rFonts w:ascii="Arial" w:hAnsi="Arial" w:cs="Arial"/>
          <w:i/>
          <w:sz w:val="22"/>
          <w:szCs w:val="22"/>
        </w:rPr>
      </w:pPr>
    </w:p>
    <w:p w:rsidR="00802AE5" w:rsidRPr="003B6573" w:rsidRDefault="00802AE5" w:rsidP="00802AE5">
      <w:pPr>
        <w:pStyle w:val="ListParagraph"/>
        <w:widowControl/>
        <w:numPr>
          <w:ilvl w:val="0"/>
          <w:numId w:val="25"/>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Pregnancy</w:t>
      </w:r>
    </w:p>
    <w:p w:rsidR="00802AE5" w:rsidRPr="003B6573" w:rsidRDefault="00802AE5" w:rsidP="00802AE5">
      <w:pPr>
        <w:pStyle w:val="ListParagraph"/>
        <w:widowControl/>
        <w:numPr>
          <w:ilvl w:val="0"/>
          <w:numId w:val="25"/>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 xml:space="preserve">Recurrent pain or chest crises not responding to </w:t>
      </w:r>
      <w:proofErr w:type="spellStart"/>
      <w:r w:rsidRPr="003B6573">
        <w:rPr>
          <w:rFonts w:ascii="Arial" w:hAnsi="Arial" w:cs="Arial"/>
          <w:sz w:val="22"/>
          <w:szCs w:val="22"/>
        </w:rPr>
        <w:t>hydroxycarbamide</w:t>
      </w:r>
      <w:proofErr w:type="spellEnd"/>
    </w:p>
    <w:p w:rsidR="00802AE5" w:rsidRPr="003B6573" w:rsidRDefault="00802AE5" w:rsidP="00802AE5">
      <w:pPr>
        <w:pStyle w:val="ListParagraph"/>
        <w:widowControl/>
        <w:numPr>
          <w:ilvl w:val="0"/>
          <w:numId w:val="25"/>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Pulmonary hypertension</w:t>
      </w:r>
    </w:p>
    <w:p w:rsidR="00802AE5" w:rsidRPr="003B6573" w:rsidRDefault="00802AE5" w:rsidP="00802AE5">
      <w:pPr>
        <w:pStyle w:val="ListParagraph"/>
        <w:widowControl/>
        <w:numPr>
          <w:ilvl w:val="0"/>
          <w:numId w:val="25"/>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Refractory leg ulcers</w:t>
      </w:r>
    </w:p>
    <w:p w:rsidR="00802AE5" w:rsidRPr="003B6573" w:rsidRDefault="00802AE5" w:rsidP="00802AE5">
      <w:pPr>
        <w:pStyle w:val="ListParagraph"/>
        <w:widowControl/>
        <w:numPr>
          <w:ilvl w:val="0"/>
          <w:numId w:val="25"/>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Refractory sickle nephropathy / post renal transplant</w:t>
      </w:r>
    </w:p>
    <w:p w:rsidR="00802AE5" w:rsidRPr="003B6573" w:rsidRDefault="00802AE5" w:rsidP="00802AE5">
      <w:pPr>
        <w:pStyle w:val="ListParagraph"/>
        <w:widowControl/>
        <w:numPr>
          <w:ilvl w:val="0"/>
          <w:numId w:val="25"/>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 xml:space="preserve">Persistent </w:t>
      </w:r>
      <w:proofErr w:type="spellStart"/>
      <w:r w:rsidRPr="003B6573">
        <w:rPr>
          <w:rFonts w:ascii="Arial" w:hAnsi="Arial" w:cs="Arial"/>
          <w:sz w:val="22"/>
          <w:szCs w:val="22"/>
        </w:rPr>
        <w:t>priapisms</w:t>
      </w:r>
      <w:proofErr w:type="spellEnd"/>
    </w:p>
    <w:p w:rsidR="00802AE5" w:rsidRPr="003B6573" w:rsidRDefault="00802AE5" w:rsidP="00802AE5">
      <w:pPr>
        <w:rPr>
          <w:rFonts w:ascii="Arial" w:hAnsi="Arial" w:cs="Arial"/>
          <w:sz w:val="22"/>
          <w:szCs w:val="22"/>
        </w:rPr>
      </w:pPr>
      <w:r w:rsidRPr="003B6573">
        <w:rPr>
          <w:rFonts w:ascii="Arial" w:hAnsi="Arial" w:cs="Arial"/>
          <w:sz w:val="22"/>
          <w:szCs w:val="22"/>
        </w:rPr>
        <w:t>All patients being considered for elective exchange transfusions should be discussed at MDT</w:t>
      </w:r>
    </w:p>
    <w:p w:rsidR="00802AE5" w:rsidRPr="003B6573" w:rsidRDefault="00802AE5" w:rsidP="00802AE5">
      <w:pPr>
        <w:spacing w:after="200" w:line="276" w:lineRule="auto"/>
        <w:rPr>
          <w:rFonts w:ascii="Arial" w:hAnsi="Arial" w:cs="Arial"/>
          <w:b/>
          <w:sz w:val="22"/>
          <w:szCs w:val="22"/>
          <w:u w:val="single"/>
        </w:rPr>
      </w:pPr>
      <w:r w:rsidRPr="003B6573">
        <w:rPr>
          <w:rFonts w:ascii="Arial" w:hAnsi="Arial" w:cs="Arial"/>
          <w:b/>
          <w:sz w:val="22"/>
          <w:szCs w:val="22"/>
          <w:u w:val="single"/>
        </w:rPr>
        <w:br w:type="page"/>
      </w:r>
    </w:p>
    <w:p w:rsidR="00802AE5" w:rsidRPr="003B6573" w:rsidRDefault="000F2EF9" w:rsidP="00802AE5">
      <w:pPr>
        <w:spacing w:after="200" w:line="276" w:lineRule="auto"/>
        <w:rPr>
          <w:rFonts w:ascii="Arial" w:hAnsi="Arial" w:cs="Arial"/>
          <w:b/>
          <w:sz w:val="22"/>
          <w:szCs w:val="22"/>
          <w:u w:val="single"/>
        </w:rPr>
      </w:pPr>
      <w:r>
        <w:rPr>
          <w:rFonts w:ascii="Arial" w:hAnsi="Arial" w:cs="Arial"/>
          <w:b/>
          <w:sz w:val="22"/>
          <w:szCs w:val="22"/>
          <w:u w:val="single"/>
        </w:rPr>
        <w:lastRenderedPageBreak/>
        <w:t xml:space="preserve">6.4 Indications for Emergency Exchange Transfusions </w:t>
      </w:r>
    </w:p>
    <w:p w:rsidR="00802AE5" w:rsidRPr="003B6573" w:rsidRDefault="00802AE5" w:rsidP="00802AE5">
      <w:pPr>
        <w:pStyle w:val="ListParagraph"/>
        <w:rPr>
          <w:rFonts w:ascii="Arial" w:hAnsi="Arial" w:cs="Arial"/>
          <w:sz w:val="22"/>
          <w:szCs w:val="22"/>
        </w:rPr>
      </w:pPr>
    </w:p>
    <w:p w:rsidR="00802AE5" w:rsidRPr="003B6573" w:rsidRDefault="00802AE5" w:rsidP="00802AE5">
      <w:pPr>
        <w:pStyle w:val="ListParagraph"/>
        <w:rPr>
          <w:rFonts w:ascii="Arial" w:hAnsi="Arial" w:cs="Arial"/>
          <w:sz w:val="22"/>
          <w:szCs w:val="22"/>
        </w:rPr>
      </w:pPr>
      <w:r w:rsidRPr="003B6573">
        <w:rPr>
          <w:rFonts w:ascii="Arial" w:hAnsi="Arial" w:cs="Arial"/>
          <w:sz w:val="22"/>
          <w:szCs w:val="22"/>
        </w:rPr>
        <w:t xml:space="preserve">If </w:t>
      </w:r>
      <w:proofErr w:type="spellStart"/>
      <w:r w:rsidRPr="003B6573">
        <w:rPr>
          <w:rFonts w:ascii="Arial" w:hAnsi="Arial" w:cs="Arial"/>
          <w:sz w:val="22"/>
          <w:szCs w:val="22"/>
        </w:rPr>
        <w:t>Hb</w:t>
      </w:r>
      <w:proofErr w:type="spellEnd"/>
      <w:r w:rsidRPr="003B6573">
        <w:rPr>
          <w:rFonts w:ascii="Arial" w:hAnsi="Arial" w:cs="Arial"/>
          <w:sz w:val="22"/>
          <w:szCs w:val="22"/>
        </w:rPr>
        <w:t xml:space="preserve"> &lt;60g/L then a top-up transfusion may be considered initially</w:t>
      </w:r>
    </w:p>
    <w:p w:rsidR="00802AE5" w:rsidRPr="003B6573" w:rsidRDefault="00802AE5" w:rsidP="00802AE5">
      <w:pPr>
        <w:pStyle w:val="ListParagraph"/>
        <w:rPr>
          <w:rFonts w:ascii="Arial" w:hAnsi="Arial" w:cs="Arial"/>
          <w:sz w:val="22"/>
          <w:szCs w:val="22"/>
        </w:rPr>
      </w:pPr>
    </w:p>
    <w:p w:rsidR="00802AE5" w:rsidRPr="003B6573" w:rsidRDefault="00802AE5" w:rsidP="00802AE5">
      <w:pPr>
        <w:pStyle w:val="ListParagraph"/>
        <w:rPr>
          <w:rFonts w:ascii="Arial" w:hAnsi="Arial" w:cs="Arial"/>
          <w:sz w:val="22"/>
          <w:szCs w:val="22"/>
        </w:rPr>
      </w:pPr>
      <w:r w:rsidRPr="003B6573">
        <w:rPr>
          <w:rFonts w:ascii="Arial" w:hAnsi="Arial" w:cs="Arial"/>
          <w:sz w:val="22"/>
          <w:szCs w:val="22"/>
        </w:rPr>
        <w:t xml:space="preserve">In most cases, the target </w:t>
      </w:r>
      <w:proofErr w:type="spellStart"/>
      <w:r w:rsidRPr="003B6573">
        <w:rPr>
          <w:rFonts w:ascii="Arial" w:hAnsi="Arial" w:cs="Arial"/>
          <w:sz w:val="22"/>
          <w:szCs w:val="22"/>
        </w:rPr>
        <w:t>Hct</w:t>
      </w:r>
      <w:proofErr w:type="spellEnd"/>
      <w:r w:rsidRPr="003B6573">
        <w:rPr>
          <w:rFonts w:ascii="Arial" w:hAnsi="Arial" w:cs="Arial"/>
          <w:sz w:val="22"/>
          <w:szCs w:val="22"/>
        </w:rPr>
        <w:t xml:space="preserve"> is 30-33% and </w:t>
      </w:r>
      <w:proofErr w:type="spellStart"/>
      <w:r w:rsidRPr="003B6573">
        <w:rPr>
          <w:rFonts w:ascii="Arial" w:hAnsi="Arial" w:cs="Arial"/>
          <w:sz w:val="22"/>
          <w:szCs w:val="22"/>
        </w:rPr>
        <w:t>HbS</w:t>
      </w:r>
      <w:proofErr w:type="spellEnd"/>
      <w:r w:rsidRPr="003B6573">
        <w:rPr>
          <w:rFonts w:ascii="Arial" w:hAnsi="Arial" w:cs="Arial"/>
          <w:sz w:val="22"/>
          <w:szCs w:val="22"/>
        </w:rPr>
        <w:t>% &lt; 30%</w:t>
      </w:r>
    </w:p>
    <w:p w:rsidR="00802AE5" w:rsidRPr="003B6573" w:rsidRDefault="00802AE5" w:rsidP="00802AE5">
      <w:pPr>
        <w:pStyle w:val="ListParagraph"/>
        <w:rPr>
          <w:rFonts w:ascii="Arial" w:hAnsi="Arial" w:cs="Arial"/>
          <w:sz w:val="22"/>
          <w:szCs w:val="22"/>
        </w:rPr>
      </w:pPr>
    </w:p>
    <w:p w:rsidR="00802AE5" w:rsidRPr="003B6573" w:rsidRDefault="00802AE5" w:rsidP="00802AE5">
      <w:pPr>
        <w:pStyle w:val="ListParagraph"/>
        <w:widowControl/>
        <w:numPr>
          <w:ilvl w:val="0"/>
          <w:numId w:val="26"/>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Acute stroke</w:t>
      </w:r>
    </w:p>
    <w:p w:rsidR="00802AE5" w:rsidRPr="003B6573" w:rsidRDefault="00802AE5" w:rsidP="00802AE5">
      <w:pPr>
        <w:pStyle w:val="ListParagraph"/>
        <w:widowControl/>
        <w:numPr>
          <w:ilvl w:val="0"/>
          <w:numId w:val="26"/>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Acute chest syndrome</w:t>
      </w:r>
    </w:p>
    <w:p w:rsidR="00802AE5" w:rsidRPr="003B6573" w:rsidRDefault="00802AE5" w:rsidP="00802AE5">
      <w:pPr>
        <w:pStyle w:val="ListParagraph"/>
        <w:widowControl/>
        <w:numPr>
          <w:ilvl w:val="0"/>
          <w:numId w:val="26"/>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Severe sepsis and acute multi-organ failure</w:t>
      </w:r>
    </w:p>
    <w:p w:rsidR="00802AE5" w:rsidRPr="003B6573" w:rsidRDefault="00802AE5" w:rsidP="00802AE5">
      <w:pPr>
        <w:pStyle w:val="ListParagraph"/>
        <w:widowControl/>
        <w:numPr>
          <w:ilvl w:val="0"/>
          <w:numId w:val="26"/>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Progressive intrahepatic cholestasis/Right upper quadrant syndrome</w:t>
      </w:r>
    </w:p>
    <w:p w:rsidR="00802AE5" w:rsidRPr="003B6573" w:rsidRDefault="00802AE5" w:rsidP="00802AE5">
      <w:pPr>
        <w:pStyle w:val="ListParagraph"/>
        <w:widowControl/>
        <w:numPr>
          <w:ilvl w:val="0"/>
          <w:numId w:val="26"/>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Hepatic sequestration</w:t>
      </w:r>
    </w:p>
    <w:p w:rsidR="00802AE5" w:rsidRPr="003B6573" w:rsidRDefault="00802AE5" w:rsidP="00802AE5">
      <w:pPr>
        <w:pStyle w:val="ListParagraph"/>
        <w:widowControl/>
        <w:numPr>
          <w:ilvl w:val="0"/>
          <w:numId w:val="26"/>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Fulminant priapism not responding to urological intervention</w:t>
      </w:r>
    </w:p>
    <w:p w:rsidR="00802AE5" w:rsidRPr="003B6573" w:rsidRDefault="00802AE5" w:rsidP="00802AE5">
      <w:pPr>
        <w:ind w:left="360"/>
        <w:rPr>
          <w:rFonts w:ascii="Arial" w:hAnsi="Arial" w:cs="Arial"/>
          <w:sz w:val="22"/>
          <w:szCs w:val="22"/>
        </w:rPr>
      </w:pPr>
    </w:p>
    <w:p w:rsidR="00802AE5" w:rsidRPr="003B6573" w:rsidRDefault="00802AE5" w:rsidP="00802AE5">
      <w:pPr>
        <w:ind w:left="360"/>
        <w:rPr>
          <w:rFonts w:ascii="Arial" w:hAnsi="Arial" w:cs="Arial"/>
          <w:sz w:val="22"/>
          <w:szCs w:val="22"/>
        </w:rPr>
      </w:pPr>
      <w:r w:rsidRPr="003B6573">
        <w:rPr>
          <w:rFonts w:ascii="Arial" w:hAnsi="Arial" w:cs="Arial"/>
          <w:sz w:val="22"/>
          <w:szCs w:val="22"/>
        </w:rPr>
        <w:t xml:space="preserve">At SGH emergency exchange transfusions are usually automated. The decision to perform an exchange transfusion should be made by the haematology registrar in liaison with the haematology consultant for </w:t>
      </w:r>
      <w:proofErr w:type="spellStart"/>
      <w:r w:rsidRPr="003B6573">
        <w:rPr>
          <w:rFonts w:ascii="Arial" w:hAnsi="Arial" w:cs="Arial"/>
          <w:sz w:val="22"/>
          <w:szCs w:val="22"/>
        </w:rPr>
        <w:t>haemoglobinopathies</w:t>
      </w:r>
      <w:proofErr w:type="spellEnd"/>
      <w:r w:rsidRPr="003B6573">
        <w:rPr>
          <w:rFonts w:ascii="Arial" w:hAnsi="Arial" w:cs="Arial"/>
          <w:sz w:val="22"/>
          <w:szCs w:val="22"/>
        </w:rPr>
        <w:t xml:space="preserve"> or the on call haematology team out of hours. </w:t>
      </w:r>
    </w:p>
    <w:p w:rsidR="00802AE5" w:rsidRPr="003B6573" w:rsidRDefault="00802AE5" w:rsidP="00802AE5">
      <w:pPr>
        <w:ind w:left="360"/>
        <w:rPr>
          <w:rFonts w:ascii="Arial" w:hAnsi="Arial" w:cs="Arial"/>
          <w:sz w:val="22"/>
          <w:szCs w:val="22"/>
        </w:rPr>
      </w:pPr>
    </w:p>
    <w:p w:rsidR="00802AE5" w:rsidRPr="003B6573" w:rsidRDefault="00802AE5" w:rsidP="00802AE5">
      <w:pPr>
        <w:ind w:left="360"/>
        <w:rPr>
          <w:rFonts w:ascii="Arial" w:hAnsi="Arial" w:cs="Arial"/>
          <w:sz w:val="22"/>
          <w:szCs w:val="22"/>
        </w:rPr>
      </w:pPr>
      <w:r w:rsidRPr="003B6573">
        <w:rPr>
          <w:rFonts w:ascii="Arial" w:hAnsi="Arial" w:cs="Arial"/>
          <w:sz w:val="22"/>
          <w:szCs w:val="22"/>
        </w:rPr>
        <w:t xml:space="preserve">The haematology </w:t>
      </w:r>
      <w:proofErr w:type="spellStart"/>
      <w:r w:rsidRPr="003B6573">
        <w:rPr>
          <w:rFonts w:ascii="Arial" w:hAnsi="Arial" w:cs="Arial"/>
          <w:sz w:val="22"/>
          <w:szCs w:val="22"/>
        </w:rPr>
        <w:t>SpR</w:t>
      </w:r>
      <w:proofErr w:type="spellEnd"/>
      <w:r w:rsidRPr="003B6573">
        <w:rPr>
          <w:rFonts w:ascii="Arial" w:hAnsi="Arial" w:cs="Arial"/>
          <w:sz w:val="22"/>
          <w:szCs w:val="22"/>
        </w:rPr>
        <w:t xml:space="preserve"> will contact the on call apheresis team, organise venous access and liaise with the blood transfusion laboratory.</w:t>
      </w:r>
    </w:p>
    <w:p w:rsidR="00802AE5" w:rsidRPr="003B6573" w:rsidRDefault="00802AE5" w:rsidP="00802AE5">
      <w:pPr>
        <w:ind w:left="360"/>
        <w:rPr>
          <w:rFonts w:ascii="Arial" w:hAnsi="Arial" w:cs="Arial"/>
          <w:sz w:val="22"/>
          <w:szCs w:val="22"/>
        </w:rPr>
      </w:pPr>
    </w:p>
    <w:p w:rsidR="00802AE5" w:rsidRPr="003B6573" w:rsidRDefault="00802AE5" w:rsidP="00802AE5">
      <w:pPr>
        <w:ind w:left="360"/>
        <w:rPr>
          <w:rFonts w:ascii="Arial" w:hAnsi="Arial" w:cs="Arial"/>
          <w:sz w:val="22"/>
          <w:szCs w:val="22"/>
        </w:rPr>
      </w:pPr>
      <w:r w:rsidRPr="003B6573">
        <w:rPr>
          <w:rFonts w:ascii="Arial" w:hAnsi="Arial" w:cs="Arial"/>
          <w:sz w:val="22"/>
          <w:szCs w:val="22"/>
        </w:rPr>
        <w:t xml:space="preserve">Any patient requiring emergency exchange transfusion will need to be on an HDU bed as a minimum so discussion with critical care is essential. </w:t>
      </w:r>
      <w:r w:rsidR="002D16C0">
        <w:rPr>
          <w:rFonts w:ascii="Arial" w:hAnsi="Arial" w:cs="Arial"/>
          <w:sz w:val="22"/>
          <w:szCs w:val="22"/>
        </w:rPr>
        <w:t xml:space="preserve">This must happen </w:t>
      </w:r>
      <w:r w:rsidRPr="003B6573">
        <w:rPr>
          <w:rFonts w:ascii="Arial" w:hAnsi="Arial" w:cs="Arial"/>
          <w:sz w:val="22"/>
          <w:szCs w:val="22"/>
        </w:rPr>
        <w:t>before agreeing to transfer a patient from another site.</w:t>
      </w:r>
    </w:p>
    <w:p w:rsidR="00802AE5" w:rsidRPr="003B6573" w:rsidRDefault="00802AE5" w:rsidP="00802AE5">
      <w:pPr>
        <w:ind w:left="360"/>
        <w:rPr>
          <w:rFonts w:ascii="Arial" w:hAnsi="Arial" w:cs="Arial"/>
          <w:sz w:val="22"/>
          <w:szCs w:val="22"/>
        </w:rPr>
      </w:pPr>
    </w:p>
    <w:p w:rsidR="00802AE5" w:rsidRPr="003B6573" w:rsidRDefault="00802AE5" w:rsidP="00802AE5">
      <w:pPr>
        <w:ind w:left="360"/>
        <w:rPr>
          <w:rFonts w:ascii="Arial" w:hAnsi="Arial" w:cs="Arial"/>
          <w:sz w:val="22"/>
          <w:szCs w:val="22"/>
        </w:rPr>
      </w:pPr>
      <w:r w:rsidRPr="003B6573">
        <w:rPr>
          <w:rFonts w:ascii="Arial" w:hAnsi="Arial" w:cs="Arial"/>
          <w:sz w:val="22"/>
          <w:szCs w:val="22"/>
        </w:rPr>
        <w:t xml:space="preserve">The post transfusion target </w:t>
      </w:r>
      <w:proofErr w:type="spellStart"/>
      <w:r w:rsidRPr="003B6573">
        <w:rPr>
          <w:rFonts w:ascii="Arial" w:hAnsi="Arial" w:cs="Arial"/>
          <w:sz w:val="22"/>
          <w:szCs w:val="22"/>
        </w:rPr>
        <w:t>Hct</w:t>
      </w:r>
      <w:proofErr w:type="spellEnd"/>
      <w:r w:rsidRPr="003B6573">
        <w:rPr>
          <w:rFonts w:ascii="Arial" w:hAnsi="Arial" w:cs="Arial"/>
          <w:sz w:val="22"/>
          <w:szCs w:val="22"/>
        </w:rPr>
        <w:t xml:space="preserve"> should be no higher than 33% and </w:t>
      </w:r>
      <w:proofErr w:type="spellStart"/>
      <w:r w:rsidRPr="003B6573">
        <w:rPr>
          <w:rFonts w:ascii="Arial" w:hAnsi="Arial" w:cs="Arial"/>
          <w:sz w:val="22"/>
          <w:szCs w:val="22"/>
        </w:rPr>
        <w:t>HbS</w:t>
      </w:r>
      <w:proofErr w:type="spellEnd"/>
      <w:r w:rsidRPr="003B6573">
        <w:rPr>
          <w:rFonts w:ascii="Arial" w:hAnsi="Arial" w:cs="Arial"/>
          <w:sz w:val="22"/>
          <w:szCs w:val="22"/>
        </w:rPr>
        <w:t>% should be &lt;30%.</w:t>
      </w:r>
    </w:p>
    <w:p w:rsidR="00802AE5" w:rsidRPr="003B6573" w:rsidRDefault="00802AE5" w:rsidP="00802AE5">
      <w:pPr>
        <w:ind w:left="360"/>
        <w:rPr>
          <w:rFonts w:ascii="Arial" w:hAnsi="Arial" w:cs="Arial"/>
          <w:sz w:val="22"/>
          <w:szCs w:val="22"/>
        </w:rPr>
      </w:pPr>
    </w:p>
    <w:p w:rsidR="00802AE5" w:rsidRPr="003B6573" w:rsidRDefault="00802AE5" w:rsidP="00256416">
      <w:pPr>
        <w:ind w:left="360"/>
        <w:rPr>
          <w:rFonts w:ascii="Arial" w:hAnsi="Arial" w:cs="Arial"/>
          <w:sz w:val="22"/>
          <w:szCs w:val="22"/>
        </w:rPr>
      </w:pPr>
      <w:r w:rsidRPr="003B6573">
        <w:rPr>
          <w:rFonts w:ascii="Arial" w:hAnsi="Arial" w:cs="Arial"/>
          <w:sz w:val="22"/>
          <w:szCs w:val="22"/>
        </w:rPr>
        <w:t xml:space="preserve">If it is not possible to perform an automated exchange, then a manual exchange can be done </w:t>
      </w:r>
      <w:r w:rsidR="00256416">
        <w:rPr>
          <w:rFonts w:ascii="Arial" w:hAnsi="Arial" w:cs="Arial"/>
          <w:sz w:val="22"/>
          <w:szCs w:val="22"/>
        </w:rPr>
        <w:t>following separate guidelines on manual exchange.</w:t>
      </w:r>
    </w:p>
    <w:p w:rsidR="00802AE5" w:rsidRDefault="00802AE5" w:rsidP="00802AE5">
      <w:pPr>
        <w:spacing w:after="200" w:line="276" w:lineRule="auto"/>
        <w:rPr>
          <w:rFonts w:ascii="Arial" w:hAnsi="Arial" w:cs="Arial"/>
          <w:sz w:val="22"/>
          <w:szCs w:val="22"/>
        </w:rPr>
      </w:pPr>
      <w:r w:rsidRPr="003B6573">
        <w:rPr>
          <w:rFonts w:ascii="Arial" w:hAnsi="Arial" w:cs="Arial"/>
          <w:sz w:val="22"/>
          <w:szCs w:val="22"/>
        </w:rPr>
        <w:br w:type="page"/>
      </w:r>
    </w:p>
    <w:p w:rsidR="000F2EF9" w:rsidRPr="003B6573" w:rsidRDefault="000F2EF9" w:rsidP="00802AE5">
      <w:pPr>
        <w:spacing w:after="200" w:line="276" w:lineRule="auto"/>
        <w:rPr>
          <w:rFonts w:ascii="Arial" w:hAnsi="Arial" w:cs="Arial"/>
          <w:sz w:val="22"/>
          <w:szCs w:val="22"/>
        </w:rPr>
      </w:pPr>
    </w:p>
    <w:p w:rsidR="00802AE5" w:rsidRPr="003B6573" w:rsidRDefault="000F2EF9" w:rsidP="00802AE5">
      <w:pPr>
        <w:spacing w:after="200" w:line="276" w:lineRule="auto"/>
        <w:rPr>
          <w:rFonts w:ascii="Arial" w:hAnsi="Arial" w:cs="Arial"/>
          <w:sz w:val="22"/>
          <w:szCs w:val="22"/>
        </w:rPr>
      </w:pPr>
      <w:r>
        <w:rPr>
          <w:rFonts w:ascii="Arial" w:hAnsi="Arial" w:cs="Arial"/>
          <w:b/>
          <w:sz w:val="22"/>
          <w:szCs w:val="22"/>
          <w:u w:val="single"/>
        </w:rPr>
        <w:t xml:space="preserve">6.5 Safety and Monitoring of patients with </w:t>
      </w:r>
      <w:r w:rsidR="002D16C0">
        <w:rPr>
          <w:rFonts w:ascii="Arial" w:hAnsi="Arial" w:cs="Arial"/>
          <w:b/>
          <w:sz w:val="22"/>
          <w:szCs w:val="22"/>
          <w:u w:val="single"/>
        </w:rPr>
        <w:t xml:space="preserve">SCD </w:t>
      </w:r>
      <w:r w:rsidR="00802AE5" w:rsidRPr="003B6573">
        <w:rPr>
          <w:rFonts w:ascii="Arial" w:hAnsi="Arial" w:cs="Arial"/>
          <w:b/>
          <w:sz w:val="22"/>
          <w:szCs w:val="22"/>
          <w:u w:val="single"/>
        </w:rPr>
        <w:t>on long term transfusions</w:t>
      </w:r>
    </w:p>
    <w:p w:rsidR="00802AE5" w:rsidRPr="003B6573" w:rsidRDefault="00802AE5" w:rsidP="00802AE5">
      <w:pPr>
        <w:rPr>
          <w:rFonts w:ascii="Arial" w:hAnsi="Arial" w:cs="Arial"/>
          <w:sz w:val="22"/>
          <w:szCs w:val="22"/>
        </w:rPr>
      </w:pPr>
    </w:p>
    <w:p w:rsidR="00802AE5" w:rsidRPr="003B6573" w:rsidRDefault="00802AE5" w:rsidP="00802AE5">
      <w:pPr>
        <w:pStyle w:val="ListParagraph"/>
        <w:widowControl/>
        <w:numPr>
          <w:ilvl w:val="0"/>
          <w:numId w:val="27"/>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Blood safety</w:t>
      </w:r>
    </w:p>
    <w:p w:rsidR="00802AE5" w:rsidRPr="00F81FD9" w:rsidRDefault="00802AE5" w:rsidP="00802AE5">
      <w:pPr>
        <w:pStyle w:val="ListParagraph"/>
        <w:widowControl/>
        <w:numPr>
          <w:ilvl w:val="1"/>
          <w:numId w:val="27"/>
        </w:numPr>
        <w:autoSpaceDE/>
        <w:autoSpaceDN/>
        <w:adjustRightInd/>
        <w:spacing w:after="200" w:line="276" w:lineRule="auto"/>
        <w:contextualSpacing/>
        <w:rPr>
          <w:rFonts w:ascii="Arial" w:hAnsi="Arial" w:cs="Arial"/>
          <w:sz w:val="22"/>
          <w:szCs w:val="22"/>
        </w:rPr>
      </w:pPr>
      <w:r w:rsidRPr="00F81FD9">
        <w:rPr>
          <w:rFonts w:ascii="Arial" w:hAnsi="Arial" w:cs="Arial"/>
          <w:sz w:val="22"/>
          <w:szCs w:val="22"/>
        </w:rPr>
        <w:t>Hepatitis B vaccination and titre checks annually</w:t>
      </w:r>
    </w:p>
    <w:p w:rsidR="00802AE5" w:rsidRPr="00F81FD9" w:rsidRDefault="00802AE5" w:rsidP="00802AE5">
      <w:pPr>
        <w:pStyle w:val="ListParagraph"/>
        <w:widowControl/>
        <w:numPr>
          <w:ilvl w:val="1"/>
          <w:numId w:val="27"/>
        </w:numPr>
        <w:autoSpaceDE/>
        <w:autoSpaceDN/>
        <w:adjustRightInd/>
        <w:spacing w:after="200" w:line="276" w:lineRule="auto"/>
        <w:contextualSpacing/>
        <w:rPr>
          <w:rFonts w:ascii="Arial" w:hAnsi="Arial" w:cs="Arial"/>
        </w:rPr>
      </w:pPr>
      <w:r w:rsidRPr="00F81FD9">
        <w:rPr>
          <w:rFonts w:ascii="Arial" w:hAnsi="Arial" w:cs="Arial"/>
          <w:sz w:val="22"/>
          <w:szCs w:val="22"/>
        </w:rPr>
        <w:t xml:space="preserve">Annual HIV Ag and </w:t>
      </w:r>
      <w:proofErr w:type="spellStart"/>
      <w:r w:rsidRPr="00F81FD9">
        <w:rPr>
          <w:rFonts w:ascii="Arial" w:hAnsi="Arial" w:cs="Arial"/>
          <w:sz w:val="22"/>
          <w:szCs w:val="22"/>
        </w:rPr>
        <w:t>Ab</w:t>
      </w:r>
      <w:proofErr w:type="spellEnd"/>
      <w:r w:rsidRPr="00F81FD9">
        <w:rPr>
          <w:rFonts w:ascii="Arial" w:hAnsi="Arial" w:cs="Arial"/>
          <w:sz w:val="22"/>
          <w:szCs w:val="22"/>
        </w:rPr>
        <w:t xml:space="preserve"> test</w:t>
      </w:r>
      <w:r w:rsidRPr="00F81FD9">
        <w:rPr>
          <w:rFonts w:ascii="Arial" w:hAnsi="Arial" w:cs="Arial"/>
          <w:bCs/>
          <w:color w:val="1C1D1E"/>
          <w:lang w:val="en"/>
        </w:rPr>
        <w:t xml:space="preserve"> </w:t>
      </w:r>
    </w:p>
    <w:p w:rsidR="00802AE5" w:rsidRPr="00F81FD9" w:rsidRDefault="00802AE5" w:rsidP="00802AE5">
      <w:pPr>
        <w:pStyle w:val="ListParagraph"/>
        <w:widowControl/>
        <w:numPr>
          <w:ilvl w:val="1"/>
          <w:numId w:val="27"/>
        </w:numPr>
        <w:autoSpaceDE/>
        <w:autoSpaceDN/>
        <w:adjustRightInd/>
        <w:spacing w:after="200" w:line="276" w:lineRule="auto"/>
        <w:contextualSpacing/>
        <w:rPr>
          <w:rFonts w:ascii="Arial" w:hAnsi="Arial" w:cs="Arial"/>
        </w:rPr>
      </w:pPr>
      <w:r w:rsidRPr="00F81FD9">
        <w:rPr>
          <w:rFonts w:ascii="Arial" w:hAnsi="Arial" w:cs="Arial"/>
          <w:bCs/>
          <w:color w:val="1C1D1E"/>
          <w:sz w:val="22"/>
          <w:szCs w:val="22"/>
          <w:lang w:val="en"/>
        </w:rPr>
        <w:t>ABO</w:t>
      </w:r>
      <w:r w:rsidRPr="00F81FD9">
        <w:rPr>
          <w:rFonts w:ascii="Cambria Math" w:hAnsi="Cambria Math" w:cs="Cambria Math"/>
          <w:bCs/>
          <w:color w:val="1C1D1E"/>
          <w:sz w:val="22"/>
          <w:szCs w:val="22"/>
          <w:lang w:val="en"/>
        </w:rPr>
        <w:t>‐</w:t>
      </w:r>
      <w:proofErr w:type="gramStart"/>
      <w:r w:rsidRPr="00F81FD9">
        <w:rPr>
          <w:rFonts w:ascii="Arial" w:hAnsi="Arial" w:cs="Arial"/>
          <w:bCs/>
          <w:color w:val="1C1D1E"/>
          <w:sz w:val="22"/>
          <w:szCs w:val="22"/>
          <w:lang w:val="en"/>
        </w:rPr>
        <w:t>compatible,</w:t>
      </w:r>
      <w:proofErr w:type="gramEnd"/>
      <w:r w:rsidRPr="00F81FD9">
        <w:rPr>
          <w:rFonts w:ascii="Arial" w:hAnsi="Arial" w:cs="Arial"/>
          <w:bCs/>
          <w:color w:val="1C1D1E"/>
          <w:sz w:val="22"/>
          <w:szCs w:val="22"/>
          <w:lang w:val="en"/>
        </w:rPr>
        <w:t xml:space="preserve"> extended Rh</w:t>
      </w:r>
      <w:r w:rsidRPr="00F81FD9">
        <w:rPr>
          <w:rFonts w:ascii="Cambria Math" w:hAnsi="Cambria Math" w:cs="Cambria Math"/>
          <w:bCs/>
          <w:color w:val="1C1D1E"/>
          <w:sz w:val="22"/>
          <w:szCs w:val="22"/>
          <w:lang w:val="en"/>
        </w:rPr>
        <w:t>‐</w:t>
      </w:r>
      <w:r w:rsidRPr="00F81FD9">
        <w:rPr>
          <w:rFonts w:ascii="Arial" w:hAnsi="Arial" w:cs="Arial"/>
          <w:bCs/>
          <w:color w:val="1C1D1E"/>
          <w:sz w:val="22"/>
          <w:szCs w:val="22"/>
          <w:lang w:val="en"/>
        </w:rPr>
        <w:t xml:space="preserve"> and </w:t>
      </w:r>
      <w:proofErr w:type="spellStart"/>
      <w:r w:rsidRPr="00F81FD9">
        <w:rPr>
          <w:rFonts w:ascii="Arial" w:hAnsi="Arial" w:cs="Arial"/>
          <w:bCs/>
          <w:color w:val="1C1D1E"/>
          <w:sz w:val="22"/>
          <w:szCs w:val="22"/>
          <w:lang w:val="en"/>
        </w:rPr>
        <w:t>Kell</w:t>
      </w:r>
      <w:proofErr w:type="spellEnd"/>
      <w:r w:rsidRPr="00F81FD9">
        <w:rPr>
          <w:rFonts w:ascii="Cambria Math" w:hAnsi="Cambria Math" w:cs="Cambria Math"/>
          <w:bCs/>
          <w:color w:val="1C1D1E"/>
          <w:sz w:val="22"/>
          <w:szCs w:val="22"/>
          <w:lang w:val="en"/>
        </w:rPr>
        <w:t>‐</w:t>
      </w:r>
      <w:r w:rsidRPr="00F81FD9">
        <w:rPr>
          <w:rFonts w:ascii="Arial" w:hAnsi="Arial" w:cs="Arial"/>
          <w:bCs/>
          <w:color w:val="1C1D1E"/>
          <w:sz w:val="22"/>
          <w:szCs w:val="22"/>
          <w:lang w:val="en"/>
        </w:rPr>
        <w:t>matched units. If there are clinically significant red cell antibodies (current or historical) then the red cells selected should be negative for the corresponding antigen</w:t>
      </w:r>
      <w:r w:rsidRPr="00F81FD9">
        <w:rPr>
          <w:rFonts w:ascii="Arial" w:hAnsi="Arial" w:cs="Arial"/>
          <w:bCs/>
          <w:color w:val="1C1D1E"/>
          <w:lang w:val="en"/>
        </w:rPr>
        <w:t>s</w:t>
      </w:r>
    </w:p>
    <w:p w:rsidR="00802AE5" w:rsidRPr="00F81FD9" w:rsidRDefault="00802AE5" w:rsidP="00802AE5">
      <w:pPr>
        <w:pStyle w:val="ListParagraph"/>
        <w:widowControl/>
        <w:numPr>
          <w:ilvl w:val="1"/>
          <w:numId w:val="27"/>
        </w:numPr>
        <w:autoSpaceDE/>
        <w:autoSpaceDN/>
        <w:adjustRightInd/>
        <w:spacing w:after="200" w:line="276" w:lineRule="auto"/>
        <w:contextualSpacing/>
        <w:rPr>
          <w:rFonts w:ascii="Arial" w:hAnsi="Arial" w:cs="Arial"/>
        </w:rPr>
      </w:pPr>
      <w:r w:rsidRPr="00F81FD9">
        <w:rPr>
          <w:rFonts w:ascii="Arial" w:hAnsi="Arial" w:cs="Arial"/>
          <w:bCs/>
          <w:color w:val="1C1D1E"/>
          <w:lang w:val="en"/>
        </w:rPr>
        <w:t xml:space="preserve">Less than 10 days old if possible. </w:t>
      </w:r>
    </w:p>
    <w:p w:rsidR="00802AE5" w:rsidRPr="003B6573" w:rsidRDefault="00802AE5" w:rsidP="00802AE5">
      <w:pPr>
        <w:pStyle w:val="ListParagraph"/>
        <w:ind w:left="1440"/>
        <w:rPr>
          <w:rFonts w:ascii="Arial" w:hAnsi="Arial" w:cs="Arial"/>
          <w:sz w:val="22"/>
          <w:szCs w:val="22"/>
          <w:highlight w:val="green"/>
        </w:rPr>
      </w:pPr>
    </w:p>
    <w:p w:rsidR="00802AE5" w:rsidRPr="003B6573" w:rsidRDefault="00802AE5" w:rsidP="00802AE5">
      <w:pPr>
        <w:pStyle w:val="ListParagraph"/>
        <w:widowControl/>
        <w:numPr>
          <w:ilvl w:val="0"/>
          <w:numId w:val="27"/>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Patient Monitoring</w:t>
      </w:r>
    </w:p>
    <w:p w:rsidR="00802AE5" w:rsidRPr="003B6573" w:rsidRDefault="00802AE5" w:rsidP="00802AE5">
      <w:pPr>
        <w:ind w:left="720"/>
        <w:rPr>
          <w:rFonts w:ascii="Arial" w:hAnsi="Arial" w:cs="Arial"/>
          <w:sz w:val="22"/>
          <w:szCs w:val="22"/>
        </w:rPr>
      </w:pPr>
      <w:r w:rsidRPr="003B6573">
        <w:rPr>
          <w:rFonts w:ascii="Arial" w:hAnsi="Arial" w:cs="Arial"/>
          <w:sz w:val="22"/>
          <w:szCs w:val="22"/>
        </w:rPr>
        <w:t>At SGH there are quarterly documented meetings with apheresis nursing staff and medical staff to discuss patients who are on regular transfusion programmes:</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Any predicted issues</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Any reported issues</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Venous access concerns</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 xml:space="preserve">Acceptable </w:t>
      </w:r>
      <w:proofErr w:type="spellStart"/>
      <w:r w:rsidRPr="003B6573">
        <w:rPr>
          <w:rFonts w:ascii="Arial" w:hAnsi="Arial" w:cs="Arial"/>
          <w:sz w:val="22"/>
          <w:szCs w:val="22"/>
        </w:rPr>
        <w:t>Hct</w:t>
      </w:r>
      <w:proofErr w:type="spellEnd"/>
      <w:r w:rsidRPr="003B6573">
        <w:rPr>
          <w:rFonts w:ascii="Arial" w:hAnsi="Arial" w:cs="Arial"/>
          <w:sz w:val="22"/>
          <w:szCs w:val="22"/>
        </w:rPr>
        <w:t xml:space="preserve"> and S% levels in patients with SCD</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 xml:space="preserve">Acceptable pre-transfusion </w:t>
      </w:r>
      <w:proofErr w:type="spellStart"/>
      <w:r w:rsidRPr="003B6573">
        <w:rPr>
          <w:rFonts w:ascii="Arial" w:hAnsi="Arial" w:cs="Arial"/>
          <w:sz w:val="22"/>
          <w:szCs w:val="22"/>
        </w:rPr>
        <w:t>Hb</w:t>
      </w:r>
      <w:proofErr w:type="spellEnd"/>
      <w:r w:rsidRPr="003B6573">
        <w:rPr>
          <w:rFonts w:ascii="Arial" w:hAnsi="Arial" w:cs="Arial"/>
          <w:sz w:val="22"/>
          <w:szCs w:val="22"/>
        </w:rPr>
        <w:t xml:space="preserve"> levels in </w:t>
      </w:r>
      <w:proofErr w:type="spellStart"/>
      <w:r w:rsidRPr="003B6573">
        <w:rPr>
          <w:rFonts w:ascii="Arial" w:hAnsi="Arial" w:cs="Arial"/>
          <w:sz w:val="22"/>
          <w:szCs w:val="22"/>
        </w:rPr>
        <w:t>thalassaemia</w:t>
      </w:r>
      <w:proofErr w:type="spellEnd"/>
      <w:r w:rsidRPr="003B6573">
        <w:rPr>
          <w:rFonts w:ascii="Arial" w:hAnsi="Arial" w:cs="Arial"/>
          <w:sz w:val="22"/>
          <w:szCs w:val="22"/>
        </w:rPr>
        <w:t xml:space="preserve"> patients</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Review of chelation</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Review of clinic attendance</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Discussion of transfusion and patient associated audits</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Referral of new patients to an apheresis programme</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Referral of new patients to a top up transfusion programme</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Transition of patients from paediatrics to adult care</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Patients stopping a transfusion programme</w:t>
      </w:r>
    </w:p>
    <w:p w:rsidR="00802AE5" w:rsidRPr="003B6573" w:rsidRDefault="00802AE5" w:rsidP="00802AE5">
      <w:pPr>
        <w:pStyle w:val="ListParagraph"/>
        <w:widowControl/>
        <w:numPr>
          <w:ilvl w:val="0"/>
          <w:numId w:val="28"/>
        </w:numPr>
        <w:autoSpaceDE/>
        <w:autoSpaceDN/>
        <w:adjustRightInd/>
        <w:spacing w:after="200" w:line="276" w:lineRule="auto"/>
        <w:contextualSpacing/>
        <w:rPr>
          <w:rFonts w:ascii="Arial" w:hAnsi="Arial" w:cs="Arial"/>
          <w:sz w:val="22"/>
          <w:szCs w:val="22"/>
        </w:rPr>
      </w:pPr>
      <w:r w:rsidRPr="003B6573">
        <w:rPr>
          <w:rFonts w:ascii="Arial" w:hAnsi="Arial" w:cs="Arial"/>
          <w:sz w:val="22"/>
          <w:szCs w:val="22"/>
        </w:rPr>
        <w:t xml:space="preserve">Any emergency procedures in the </w:t>
      </w:r>
      <w:proofErr w:type="spellStart"/>
      <w:r w:rsidRPr="003B6573">
        <w:rPr>
          <w:rFonts w:ascii="Arial" w:hAnsi="Arial" w:cs="Arial"/>
          <w:sz w:val="22"/>
          <w:szCs w:val="22"/>
        </w:rPr>
        <w:t>preceeding</w:t>
      </w:r>
      <w:proofErr w:type="spellEnd"/>
      <w:r w:rsidRPr="003B6573">
        <w:rPr>
          <w:rFonts w:ascii="Arial" w:hAnsi="Arial" w:cs="Arial"/>
          <w:sz w:val="22"/>
          <w:szCs w:val="22"/>
        </w:rPr>
        <w:t xml:space="preserve"> time frame.</w:t>
      </w:r>
    </w:p>
    <w:p w:rsidR="00802AE5" w:rsidRPr="00F236DF" w:rsidRDefault="00F236DF" w:rsidP="00802AE5">
      <w:pPr>
        <w:rPr>
          <w:rFonts w:ascii="Arial" w:hAnsi="Arial" w:cs="Arial"/>
          <w:sz w:val="22"/>
          <w:szCs w:val="22"/>
        </w:rPr>
      </w:pPr>
      <w:r w:rsidRPr="00F236DF">
        <w:rPr>
          <w:rFonts w:ascii="Arial" w:hAnsi="Arial" w:cs="Arial"/>
          <w:sz w:val="22"/>
          <w:szCs w:val="22"/>
        </w:rPr>
        <w:t>SCD Patients on long term transfusions should be having automated red cell exchanges unless contraindicated</w:t>
      </w:r>
    </w:p>
    <w:p w:rsidR="00F236DF" w:rsidRPr="00F236DF" w:rsidRDefault="00F236DF" w:rsidP="00802AE5">
      <w:pPr>
        <w:rPr>
          <w:rFonts w:ascii="Arial" w:hAnsi="Arial" w:cs="Arial"/>
          <w:sz w:val="22"/>
          <w:szCs w:val="22"/>
        </w:rPr>
      </w:pPr>
    </w:p>
    <w:p w:rsidR="00F236DF" w:rsidRPr="00F236DF" w:rsidRDefault="00F236DF" w:rsidP="00802AE5">
      <w:pPr>
        <w:rPr>
          <w:rFonts w:ascii="Arial" w:hAnsi="Arial" w:cs="Arial"/>
          <w:sz w:val="22"/>
          <w:szCs w:val="22"/>
        </w:rPr>
      </w:pPr>
      <w:r w:rsidRPr="00F236DF">
        <w:rPr>
          <w:rFonts w:ascii="Arial" w:hAnsi="Arial" w:cs="Arial"/>
          <w:sz w:val="22"/>
          <w:szCs w:val="22"/>
        </w:rPr>
        <w:t>Venous access is usually via ultrasound guided peripheral access – if hard to find after 3 attempts then discussion about central access with the patient should occur</w:t>
      </w:r>
    </w:p>
    <w:p w:rsidR="000F2EF9" w:rsidRDefault="000F2EF9" w:rsidP="00802AE5">
      <w:pPr>
        <w:spacing w:after="200" w:line="276" w:lineRule="auto"/>
        <w:rPr>
          <w:rFonts w:ascii="Arial" w:eastAsiaTheme="minorHAnsi" w:hAnsi="Arial" w:cs="Arial"/>
          <w:b/>
          <w:bCs/>
          <w:color w:val="000000"/>
          <w:sz w:val="22"/>
          <w:szCs w:val="22"/>
          <w:u w:val="single"/>
          <w:lang w:eastAsia="en-US"/>
        </w:rPr>
      </w:pPr>
    </w:p>
    <w:p w:rsidR="00356A7F" w:rsidRDefault="00FB7672" w:rsidP="00802AE5">
      <w:pPr>
        <w:spacing w:after="200" w:line="276" w:lineRule="auto"/>
        <w:rPr>
          <w:rFonts w:ascii="Arial" w:eastAsiaTheme="minorHAnsi" w:hAnsi="Arial" w:cs="Arial"/>
          <w:b/>
          <w:bCs/>
          <w:color w:val="000000"/>
          <w:sz w:val="22"/>
          <w:szCs w:val="22"/>
          <w:u w:val="single"/>
          <w:lang w:eastAsia="en-US"/>
        </w:rPr>
      </w:pPr>
      <w:r>
        <w:rPr>
          <w:rFonts w:ascii="Arial" w:eastAsiaTheme="minorHAnsi" w:hAnsi="Arial" w:cs="Arial"/>
          <w:b/>
          <w:bCs/>
          <w:color w:val="000000"/>
          <w:sz w:val="22"/>
          <w:szCs w:val="22"/>
          <w:u w:val="single"/>
          <w:lang w:eastAsia="en-US"/>
        </w:rPr>
        <w:t xml:space="preserve">6.6 </w:t>
      </w:r>
      <w:r w:rsidR="000F2EF9">
        <w:rPr>
          <w:rFonts w:ascii="Arial" w:eastAsiaTheme="minorHAnsi" w:hAnsi="Arial" w:cs="Arial"/>
          <w:b/>
          <w:bCs/>
          <w:color w:val="000000"/>
          <w:sz w:val="22"/>
          <w:szCs w:val="22"/>
          <w:u w:val="single"/>
          <w:lang w:eastAsia="en-US"/>
        </w:rPr>
        <w:t xml:space="preserve">Patients </w:t>
      </w:r>
      <w:r w:rsidR="00356A7F">
        <w:rPr>
          <w:rFonts w:ascii="Arial" w:eastAsiaTheme="minorHAnsi" w:hAnsi="Arial" w:cs="Arial"/>
          <w:b/>
          <w:bCs/>
          <w:color w:val="000000"/>
          <w:sz w:val="22"/>
          <w:szCs w:val="22"/>
          <w:u w:val="single"/>
          <w:lang w:eastAsia="en-US"/>
        </w:rPr>
        <w:t>who refuse Blood Transfusion</w:t>
      </w:r>
    </w:p>
    <w:p w:rsidR="00802AE5" w:rsidRDefault="00356A7F" w:rsidP="00802AE5">
      <w:pPr>
        <w:spacing w:after="200" w:line="276" w:lineRule="auto"/>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 xml:space="preserve">Patients who refuse blood transfusion for religious or other personal reasons </w:t>
      </w:r>
      <w:r w:rsidR="00FB7672">
        <w:rPr>
          <w:rFonts w:ascii="Arial" w:eastAsiaTheme="minorHAnsi" w:hAnsi="Arial" w:cs="Arial"/>
          <w:bCs/>
          <w:color w:val="000000"/>
          <w:sz w:val="22"/>
          <w:szCs w:val="22"/>
          <w:lang w:eastAsia="en-US"/>
        </w:rPr>
        <w:t xml:space="preserve">will receive optimum care with wishes respected </w:t>
      </w:r>
    </w:p>
    <w:p w:rsidR="00FB7672" w:rsidRDefault="00FB7672" w:rsidP="00802AE5">
      <w:pPr>
        <w:spacing w:after="200" w:line="276" w:lineRule="auto"/>
        <w:rPr>
          <w:rFonts w:ascii="Arial" w:eastAsiaTheme="minorHAnsi" w:hAnsi="Arial" w:cs="Arial"/>
          <w:bCs/>
          <w:color w:val="000000"/>
          <w:sz w:val="22"/>
          <w:szCs w:val="22"/>
          <w:lang w:eastAsia="en-US"/>
        </w:rPr>
      </w:pPr>
      <w:r>
        <w:rPr>
          <w:rFonts w:ascii="Arial" w:eastAsiaTheme="minorHAnsi" w:hAnsi="Arial" w:cs="Arial"/>
          <w:bCs/>
          <w:color w:val="000000"/>
          <w:sz w:val="22"/>
          <w:szCs w:val="22"/>
          <w:lang w:eastAsia="en-US"/>
        </w:rPr>
        <w:t>The Trust policy on the management of patients who refuse blood should be followed (and can be found on the Red Cell Disorder Unit website or at St George’s University Hospitals Policy Hub) and the trust documentation used.</w:t>
      </w:r>
    </w:p>
    <w:p w:rsidR="00802AE5" w:rsidRPr="00FB7672" w:rsidRDefault="00FB7672" w:rsidP="00FB7672">
      <w:pPr>
        <w:pStyle w:val="ListParagraph"/>
        <w:overflowPunct w:val="0"/>
        <w:spacing w:line="276" w:lineRule="exact"/>
        <w:ind w:left="720" w:right="1"/>
        <w:rPr>
          <w:rFonts w:ascii="Arial" w:hAnsi="Arial" w:cs="Arial"/>
          <w:b/>
          <w:sz w:val="22"/>
          <w:szCs w:val="22"/>
        </w:rPr>
      </w:pPr>
      <w:r w:rsidRPr="00FB7672">
        <w:rPr>
          <w:rFonts w:ascii="Arial" w:hAnsi="Arial" w:cs="Arial"/>
          <w:b/>
          <w:sz w:val="22"/>
          <w:szCs w:val="22"/>
        </w:rPr>
        <w:t xml:space="preserve">For patients with a </w:t>
      </w:r>
      <w:proofErr w:type="spellStart"/>
      <w:r w:rsidRPr="00FB7672">
        <w:rPr>
          <w:rFonts w:ascii="Arial" w:hAnsi="Arial" w:cs="Arial"/>
          <w:b/>
          <w:sz w:val="22"/>
          <w:szCs w:val="22"/>
        </w:rPr>
        <w:t>haemoglobinopathy</w:t>
      </w:r>
      <w:proofErr w:type="spellEnd"/>
      <w:r w:rsidRPr="00FB7672">
        <w:rPr>
          <w:rFonts w:ascii="Arial" w:hAnsi="Arial" w:cs="Arial"/>
          <w:b/>
          <w:sz w:val="22"/>
          <w:szCs w:val="22"/>
        </w:rPr>
        <w:t xml:space="preserve"> disorder (sickle cell anaemia/</w:t>
      </w:r>
      <w:proofErr w:type="spellStart"/>
      <w:r w:rsidRPr="00FB7672">
        <w:rPr>
          <w:rFonts w:ascii="Arial" w:hAnsi="Arial" w:cs="Arial"/>
          <w:b/>
          <w:sz w:val="22"/>
          <w:szCs w:val="22"/>
        </w:rPr>
        <w:t>thalassaemia</w:t>
      </w:r>
      <w:proofErr w:type="spellEnd"/>
      <w:r w:rsidRPr="00FB7672">
        <w:rPr>
          <w:rFonts w:ascii="Arial" w:hAnsi="Arial" w:cs="Arial"/>
          <w:b/>
          <w:sz w:val="22"/>
          <w:szCs w:val="22"/>
        </w:rPr>
        <w:t xml:space="preserve">), their blood </w:t>
      </w:r>
      <w:proofErr w:type="spellStart"/>
      <w:r w:rsidRPr="00FB7672">
        <w:rPr>
          <w:rFonts w:ascii="Arial" w:hAnsi="Arial" w:cs="Arial"/>
          <w:b/>
          <w:sz w:val="22"/>
          <w:szCs w:val="22"/>
        </w:rPr>
        <w:t>refuser</w:t>
      </w:r>
      <w:proofErr w:type="spellEnd"/>
      <w:r w:rsidRPr="00FB7672">
        <w:rPr>
          <w:rFonts w:ascii="Arial" w:hAnsi="Arial" w:cs="Arial"/>
          <w:b/>
          <w:sz w:val="22"/>
          <w:szCs w:val="22"/>
        </w:rPr>
        <w:t xml:space="preserve"> status and paperwork should be reviewed on an annual basis (where possible), preferably with the red cell haematology consultant and a member of the transfusion team.</w:t>
      </w:r>
    </w:p>
    <w:p w:rsidR="00802AE5" w:rsidRDefault="00802AE5" w:rsidP="00802AE5">
      <w:pPr>
        <w:rPr>
          <w:rFonts w:ascii="Arial" w:hAnsi="Arial" w:cs="Arial"/>
          <w:sz w:val="22"/>
          <w:szCs w:val="22"/>
        </w:rPr>
      </w:pPr>
    </w:p>
    <w:p w:rsidR="00FB7672" w:rsidRDefault="00FB7672">
      <w:pPr>
        <w:widowControl/>
        <w:autoSpaceDE/>
        <w:autoSpaceDN/>
        <w:adjustRightInd/>
        <w:spacing w:after="200" w:line="276" w:lineRule="auto"/>
        <w:rPr>
          <w:rFonts w:ascii="Arial" w:hAnsi="Arial" w:cs="Arial"/>
          <w:sz w:val="22"/>
          <w:szCs w:val="22"/>
        </w:rPr>
      </w:pPr>
      <w:r>
        <w:rPr>
          <w:rFonts w:ascii="Arial" w:hAnsi="Arial" w:cs="Arial"/>
          <w:sz w:val="22"/>
          <w:szCs w:val="22"/>
        </w:rPr>
        <w:br w:type="page"/>
      </w:r>
    </w:p>
    <w:p w:rsidR="00FB7672" w:rsidRPr="00842278" w:rsidRDefault="00FB7672" w:rsidP="00FB7672">
      <w:pPr>
        <w:pStyle w:val="ListParagraph"/>
        <w:numPr>
          <w:ilvl w:val="1"/>
          <w:numId w:val="32"/>
        </w:numPr>
        <w:rPr>
          <w:rFonts w:ascii="Arial" w:hAnsi="Arial" w:cs="Arial"/>
          <w:b/>
          <w:sz w:val="22"/>
          <w:szCs w:val="22"/>
          <w:u w:val="single"/>
        </w:rPr>
      </w:pPr>
      <w:r w:rsidRPr="00842278">
        <w:rPr>
          <w:rFonts w:ascii="Arial" w:hAnsi="Arial" w:cs="Arial"/>
          <w:b/>
          <w:sz w:val="22"/>
          <w:szCs w:val="22"/>
          <w:u w:val="single"/>
        </w:rPr>
        <w:lastRenderedPageBreak/>
        <w:t>Patients who are ‘difficult to transfuse’</w:t>
      </w:r>
    </w:p>
    <w:p w:rsidR="00FB7672" w:rsidRDefault="00FB7672" w:rsidP="00FB7672">
      <w:pPr>
        <w:rPr>
          <w:rFonts w:ascii="Arial" w:hAnsi="Arial" w:cs="Arial"/>
          <w:sz w:val="22"/>
          <w:szCs w:val="22"/>
        </w:rPr>
      </w:pPr>
    </w:p>
    <w:p w:rsidR="00FB7672" w:rsidRPr="00842278" w:rsidRDefault="00FB7672" w:rsidP="00FB7672">
      <w:pPr>
        <w:rPr>
          <w:rFonts w:ascii="Arial" w:hAnsi="Arial" w:cs="Arial"/>
          <w:b/>
          <w:bCs/>
          <w:sz w:val="22"/>
          <w:szCs w:val="22"/>
          <w:lang w:val="en"/>
        </w:rPr>
      </w:pPr>
      <w:r w:rsidRPr="00842278">
        <w:rPr>
          <w:rFonts w:ascii="Arial" w:hAnsi="Arial" w:cs="Arial"/>
          <w:b/>
          <w:bCs/>
          <w:sz w:val="22"/>
          <w:szCs w:val="22"/>
          <w:lang w:val="en"/>
        </w:rPr>
        <w:t>Patients with multiple red cell alloantibodies or antibodies to rare antigens need a clear agreed plan given that blood may be difficult to source in the elective or emergency setting. Close liaison between all clinical teams, the hospital transfusion laboratory and the national blood service is essential to ensure appropriate provision of blood</w:t>
      </w:r>
    </w:p>
    <w:p w:rsidR="00842278" w:rsidRPr="00842278" w:rsidRDefault="00842278" w:rsidP="00FB7672">
      <w:pPr>
        <w:rPr>
          <w:rFonts w:ascii="Arial" w:hAnsi="Arial" w:cs="Arial"/>
          <w:b/>
          <w:bCs/>
          <w:sz w:val="22"/>
          <w:szCs w:val="22"/>
          <w:lang w:val="en"/>
        </w:rPr>
      </w:pPr>
    </w:p>
    <w:p w:rsidR="00842278" w:rsidRPr="00842278" w:rsidRDefault="00842278" w:rsidP="00FB7672">
      <w:pPr>
        <w:rPr>
          <w:rFonts w:ascii="Arial" w:hAnsi="Arial" w:cs="Arial"/>
          <w:i/>
          <w:sz w:val="22"/>
          <w:szCs w:val="22"/>
        </w:rPr>
      </w:pPr>
      <w:r w:rsidRPr="00842278">
        <w:rPr>
          <w:rFonts w:ascii="Arial" w:hAnsi="Arial" w:cs="Arial"/>
          <w:bCs/>
          <w:i/>
          <w:sz w:val="22"/>
          <w:szCs w:val="22"/>
          <w:lang w:val="en"/>
        </w:rPr>
        <w:t xml:space="preserve">Patients with a history of </w:t>
      </w:r>
      <w:proofErr w:type="spellStart"/>
      <w:r w:rsidRPr="00842278">
        <w:rPr>
          <w:rFonts w:ascii="Arial" w:hAnsi="Arial" w:cs="Arial"/>
          <w:bCs/>
          <w:i/>
          <w:sz w:val="22"/>
          <w:szCs w:val="22"/>
          <w:lang w:val="en"/>
        </w:rPr>
        <w:t>hyperhaemolysis</w:t>
      </w:r>
      <w:proofErr w:type="spellEnd"/>
      <w:r w:rsidRPr="00842278">
        <w:rPr>
          <w:rFonts w:ascii="Arial" w:hAnsi="Arial" w:cs="Arial"/>
          <w:bCs/>
          <w:i/>
          <w:sz w:val="22"/>
          <w:szCs w:val="22"/>
          <w:lang w:val="en"/>
        </w:rPr>
        <w:t xml:space="preserve"> are also considered ‘difficult to transfuse’ but this is not due to the availability of appropriate blood units but rather the risk of transfusing any red cells. For these patients please follow the guideline on the management of </w:t>
      </w:r>
      <w:proofErr w:type="spellStart"/>
      <w:r w:rsidRPr="00842278">
        <w:rPr>
          <w:rFonts w:ascii="Arial" w:hAnsi="Arial" w:cs="Arial"/>
          <w:bCs/>
          <w:i/>
          <w:sz w:val="22"/>
          <w:szCs w:val="22"/>
          <w:lang w:val="en"/>
        </w:rPr>
        <w:t>hyperhaemolysis</w:t>
      </w:r>
      <w:proofErr w:type="spellEnd"/>
      <w:r w:rsidRPr="00842278">
        <w:rPr>
          <w:rFonts w:ascii="Arial" w:hAnsi="Arial" w:cs="Arial"/>
          <w:bCs/>
          <w:i/>
          <w:sz w:val="22"/>
          <w:szCs w:val="22"/>
          <w:lang w:val="en"/>
        </w:rPr>
        <w:t xml:space="preserve">. </w:t>
      </w:r>
    </w:p>
    <w:p w:rsidR="00802AE5" w:rsidRPr="00842278" w:rsidRDefault="00802AE5" w:rsidP="00802AE5">
      <w:pPr>
        <w:rPr>
          <w:rFonts w:ascii="Arial" w:hAnsi="Arial" w:cs="Arial"/>
          <w:i/>
          <w:sz w:val="22"/>
          <w:szCs w:val="22"/>
        </w:rPr>
      </w:pPr>
    </w:p>
    <w:p w:rsidR="00842278" w:rsidRPr="00842278" w:rsidRDefault="00FB7672" w:rsidP="00842278">
      <w:pPr>
        <w:widowControl/>
        <w:autoSpaceDE/>
        <w:autoSpaceDN/>
        <w:adjustRightInd/>
        <w:spacing w:after="75"/>
        <w:rPr>
          <w:rFonts w:ascii="Arial" w:eastAsia="Times New Roman" w:hAnsi="Arial" w:cs="Arial"/>
          <w:sz w:val="22"/>
          <w:szCs w:val="22"/>
          <w:lang w:val="en"/>
        </w:rPr>
      </w:pPr>
      <w:r w:rsidRPr="00FB7672">
        <w:rPr>
          <w:rFonts w:ascii="Arial" w:eastAsia="Times New Roman" w:hAnsi="Arial" w:cs="Arial"/>
          <w:sz w:val="22"/>
          <w:szCs w:val="22"/>
          <w:lang w:val="en"/>
        </w:rPr>
        <w:t xml:space="preserve">Multiple antibody combinations or antibodies to rare antigens not seen in Caucasian donors (e.g. </w:t>
      </w:r>
      <w:proofErr w:type="spellStart"/>
      <w:r w:rsidRPr="00FB7672">
        <w:rPr>
          <w:rFonts w:ascii="Arial" w:eastAsia="Times New Roman" w:hAnsi="Arial" w:cs="Arial"/>
          <w:sz w:val="22"/>
          <w:szCs w:val="22"/>
          <w:lang w:val="en"/>
        </w:rPr>
        <w:t>Fy</w:t>
      </w:r>
      <w:r w:rsidRPr="00FB7672">
        <w:rPr>
          <w:rFonts w:ascii="Arial" w:eastAsia="Times New Roman" w:hAnsi="Arial" w:cs="Arial"/>
          <w:sz w:val="22"/>
          <w:szCs w:val="22"/>
          <w:vertAlign w:val="superscript"/>
          <w:lang w:val="en"/>
        </w:rPr>
        <w:t>a</w:t>
      </w:r>
      <w:proofErr w:type="spellEnd"/>
      <w:r w:rsidRPr="00FB7672">
        <w:rPr>
          <w:rFonts w:ascii="Cambria Math" w:eastAsia="Times New Roman" w:hAnsi="Cambria Math" w:cs="Cambria Math"/>
          <w:sz w:val="22"/>
          <w:szCs w:val="22"/>
          <w:vertAlign w:val="superscript"/>
          <w:lang w:val="en"/>
        </w:rPr>
        <w:t>‐</w:t>
      </w:r>
      <w:r w:rsidRPr="00FB7672">
        <w:rPr>
          <w:rFonts w:ascii="Arial" w:eastAsia="Times New Roman" w:hAnsi="Arial" w:cs="Arial"/>
          <w:sz w:val="22"/>
          <w:szCs w:val="22"/>
          <w:vertAlign w:val="superscript"/>
          <w:lang w:val="en"/>
        </w:rPr>
        <w:t>b</w:t>
      </w:r>
      <w:r w:rsidRPr="00FB7672">
        <w:rPr>
          <w:rFonts w:ascii="Cambria Math" w:eastAsia="Times New Roman" w:hAnsi="Cambria Math" w:cs="Cambria Math"/>
          <w:sz w:val="22"/>
          <w:szCs w:val="22"/>
          <w:vertAlign w:val="superscript"/>
          <w:lang w:val="en"/>
        </w:rPr>
        <w:t>‐</w:t>
      </w:r>
      <w:r w:rsidRPr="00FB7672">
        <w:rPr>
          <w:rFonts w:ascii="Arial" w:eastAsia="Times New Roman" w:hAnsi="Arial" w:cs="Arial"/>
          <w:sz w:val="22"/>
          <w:szCs w:val="22"/>
          <w:lang w:val="en"/>
        </w:rPr>
        <w:t>) can cause difficulty in sourcing blood. The development of anti</w:t>
      </w:r>
      <w:r w:rsidRPr="00FB7672">
        <w:rPr>
          <w:rFonts w:ascii="Cambria Math" w:eastAsia="Times New Roman" w:hAnsi="Cambria Math" w:cs="Cambria Math"/>
          <w:sz w:val="22"/>
          <w:szCs w:val="22"/>
          <w:lang w:val="en"/>
        </w:rPr>
        <w:t>‐</w:t>
      </w:r>
      <w:r w:rsidRPr="00FB7672">
        <w:rPr>
          <w:rFonts w:ascii="Arial" w:eastAsia="Times New Roman" w:hAnsi="Arial" w:cs="Arial"/>
          <w:sz w:val="22"/>
          <w:szCs w:val="22"/>
          <w:lang w:val="en"/>
        </w:rPr>
        <w:t>U and anti</w:t>
      </w:r>
      <w:r w:rsidRPr="00FB7672">
        <w:rPr>
          <w:rFonts w:ascii="Cambria Math" w:eastAsia="Times New Roman" w:hAnsi="Cambria Math" w:cs="Cambria Math"/>
          <w:sz w:val="22"/>
          <w:szCs w:val="22"/>
          <w:lang w:val="en"/>
        </w:rPr>
        <w:t>‐</w:t>
      </w:r>
      <w:proofErr w:type="spellStart"/>
      <w:r w:rsidRPr="00FB7672">
        <w:rPr>
          <w:rFonts w:ascii="Arial" w:eastAsia="Times New Roman" w:hAnsi="Arial" w:cs="Arial"/>
          <w:sz w:val="22"/>
          <w:szCs w:val="22"/>
          <w:lang w:val="en"/>
        </w:rPr>
        <w:t>Js</w:t>
      </w:r>
      <w:r w:rsidRPr="00FB7672">
        <w:rPr>
          <w:rFonts w:ascii="Arial" w:eastAsia="Times New Roman" w:hAnsi="Arial" w:cs="Arial"/>
          <w:sz w:val="22"/>
          <w:szCs w:val="22"/>
          <w:vertAlign w:val="superscript"/>
          <w:lang w:val="en"/>
        </w:rPr>
        <w:t>b</w:t>
      </w:r>
      <w:proofErr w:type="spellEnd"/>
      <w:r w:rsidR="00842278" w:rsidRPr="00842278">
        <w:rPr>
          <w:rFonts w:ascii="Arial" w:eastAsia="Times New Roman" w:hAnsi="Arial" w:cs="Arial"/>
          <w:sz w:val="22"/>
          <w:szCs w:val="22"/>
          <w:lang w:val="en"/>
        </w:rPr>
        <w:t xml:space="preserve"> can be particularly. </w:t>
      </w:r>
      <w:proofErr w:type="spellStart"/>
      <w:r w:rsidR="00842278" w:rsidRPr="00842278">
        <w:rPr>
          <w:rFonts w:ascii="Arial" w:eastAsia="Times New Roman" w:hAnsi="Arial" w:cs="Arial"/>
          <w:sz w:val="22"/>
          <w:szCs w:val="22"/>
          <w:lang w:val="en"/>
        </w:rPr>
        <w:t>Alloimmunisation</w:t>
      </w:r>
      <w:proofErr w:type="spellEnd"/>
      <w:r w:rsidR="00842278" w:rsidRPr="00842278">
        <w:rPr>
          <w:rFonts w:ascii="Arial" w:eastAsia="Times New Roman" w:hAnsi="Arial" w:cs="Arial"/>
          <w:sz w:val="22"/>
          <w:szCs w:val="22"/>
          <w:lang w:val="en"/>
        </w:rPr>
        <w:t xml:space="preserve"> can lead to </w:t>
      </w:r>
      <w:r w:rsidRPr="00FB7672">
        <w:rPr>
          <w:rFonts w:ascii="Arial" w:eastAsia="Times New Roman" w:hAnsi="Arial" w:cs="Arial"/>
          <w:sz w:val="22"/>
          <w:szCs w:val="22"/>
          <w:lang w:val="en"/>
        </w:rPr>
        <w:t xml:space="preserve">delays in securing compatible units, as well as increased potential for delayed </w:t>
      </w:r>
      <w:proofErr w:type="spellStart"/>
      <w:r w:rsidRPr="00FB7672">
        <w:rPr>
          <w:rFonts w:ascii="Arial" w:eastAsia="Times New Roman" w:hAnsi="Arial" w:cs="Arial"/>
          <w:sz w:val="22"/>
          <w:szCs w:val="22"/>
          <w:lang w:val="en"/>
        </w:rPr>
        <w:t>haemolytic</w:t>
      </w:r>
      <w:proofErr w:type="spellEnd"/>
      <w:r w:rsidRPr="00FB7672">
        <w:rPr>
          <w:rFonts w:ascii="Arial" w:eastAsia="Times New Roman" w:hAnsi="Arial" w:cs="Arial"/>
          <w:sz w:val="22"/>
          <w:szCs w:val="22"/>
          <w:lang w:val="en"/>
        </w:rPr>
        <w:t xml:space="preserve"> transfusion reactions. </w:t>
      </w:r>
    </w:p>
    <w:p w:rsidR="00FB7672" w:rsidRPr="00842278" w:rsidRDefault="00FB7672" w:rsidP="00842278">
      <w:pPr>
        <w:widowControl/>
        <w:autoSpaceDE/>
        <w:autoSpaceDN/>
        <w:adjustRightInd/>
        <w:spacing w:after="75"/>
        <w:rPr>
          <w:rFonts w:ascii="Arial" w:eastAsia="Times New Roman" w:hAnsi="Arial" w:cs="Arial"/>
          <w:sz w:val="22"/>
          <w:szCs w:val="22"/>
          <w:lang w:val="en"/>
        </w:rPr>
      </w:pPr>
      <w:r w:rsidRPr="00FB7672">
        <w:rPr>
          <w:rFonts w:ascii="Arial" w:eastAsia="Times New Roman" w:hAnsi="Arial" w:cs="Arial"/>
          <w:sz w:val="22"/>
          <w:szCs w:val="22"/>
          <w:lang w:val="en"/>
        </w:rPr>
        <w:t>Careful planning and communication between all teams is essential; this includes liaising with the Blood Service for sourcing rare blood from donors and providing frozen units where necessary.</w:t>
      </w:r>
    </w:p>
    <w:p w:rsidR="00842278" w:rsidRPr="00842278" w:rsidRDefault="00842278" w:rsidP="00842278">
      <w:pPr>
        <w:widowControl/>
        <w:autoSpaceDE/>
        <w:autoSpaceDN/>
        <w:adjustRightInd/>
        <w:spacing w:after="75"/>
        <w:rPr>
          <w:rFonts w:ascii="Arial" w:eastAsia="Times New Roman" w:hAnsi="Arial" w:cs="Arial"/>
          <w:sz w:val="22"/>
          <w:szCs w:val="22"/>
          <w:lang w:val="en"/>
        </w:rPr>
      </w:pPr>
    </w:p>
    <w:p w:rsidR="00842278" w:rsidRPr="00842278" w:rsidRDefault="00842278" w:rsidP="00842278">
      <w:pPr>
        <w:widowControl/>
        <w:autoSpaceDE/>
        <w:autoSpaceDN/>
        <w:adjustRightInd/>
        <w:spacing w:after="75"/>
        <w:rPr>
          <w:rFonts w:ascii="Arial" w:eastAsia="Times New Roman" w:hAnsi="Arial" w:cs="Arial"/>
          <w:sz w:val="22"/>
          <w:szCs w:val="22"/>
          <w:lang w:val="en"/>
        </w:rPr>
      </w:pPr>
      <w:r w:rsidRPr="00842278">
        <w:rPr>
          <w:rFonts w:ascii="Arial" w:eastAsia="Times New Roman" w:hAnsi="Arial" w:cs="Arial"/>
          <w:sz w:val="22"/>
          <w:szCs w:val="22"/>
          <w:lang w:val="en"/>
        </w:rPr>
        <w:t>British Society Haematology Guidelines (2016) state that</w:t>
      </w:r>
    </w:p>
    <w:p w:rsidR="00842278" w:rsidRPr="00842278" w:rsidRDefault="00FB7672" w:rsidP="00842278">
      <w:pPr>
        <w:pStyle w:val="ListParagraph"/>
        <w:widowControl/>
        <w:numPr>
          <w:ilvl w:val="0"/>
          <w:numId w:val="33"/>
        </w:numPr>
        <w:autoSpaceDE/>
        <w:autoSpaceDN/>
        <w:adjustRightInd/>
        <w:spacing w:after="75"/>
        <w:rPr>
          <w:rFonts w:ascii="Arial" w:eastAsia="Times New Roman" w:hAnsi="Arial" w:cs="Arial"/>
          <w:sz w:val="22"/>
          <w:szCs w:val="22"/>
          <w:lang w:val="en"/>
        </w:rPr>
      </w:pPr>
      <w:r w:rsidRPr="00842278">
        <w:rPr>
          <w:rFonts w:ascii="Arial" w:eastAsia="Times New Roman" w:hAnsi="Arial" w:cs="Arial"/>
          <w:sz w:val="22"/>
          <w:szCs w:val="22"/>
          <w:lang w:val="en"/>
        </w:rPr>
        <w:t xml:space="preserve">The principal aims are to provide compatible blood in a timely manner and to </w:t>
      </w:r>
      <w:proofErr w:type="spellStart"/>
      <w:r w:rsidRPr="00842278">
        <w:rPr>
          <w:rFonts w:ascii="Arial" w:eastAsia="Times New Roman" w:hAnsi="Arial" w:cs="Arial"/>
          <w:sz w:val="22"/>
          <w:szCs w:val="22"/>
          <w:lang w:val="en"/>
        </w:rPr>
        <w:t>minimise</w:t>
      </w:r>
      <w:proofErr w:type="spellEnd"/>
      <w:r w:rsidRPr="00842278">
        <w:rPr>
          <w:rFonts w:ascii="Arial" w:eastAsia="Times New Roman" w:hAnsi="Arial" w:cs="Arial"/>
          <w:sz w:val="22"/>
          <w:szCs w:val="22"/>
          <w:lang w:val="en"/>
        </w:rPr>
        <w:t xml:space="preserve"> the risks from transfusion.</w:t>
      </w:r>
    </w:p>
    <w:p w:rsidR="00842278" w:rsidRPr="00842278" w:rsidRDefault="00FB7672" w:rsidP="00842278">
      <w:pPr>
        <w:pStyle w:val="ListParagraph"/>
        <w:widowControl/>
        <w:numPr>
          <w:ilvl w:val="0"/>
          <w:numId w:val="33"/>
        </w:numPr>
        <w:autoSpaceDE/>
        <w:autoSpaceDN/>
        <w:adjustRightInd/>
        <w:spacing w:after="75"/>
        <w:rPr>
          <w:rFonts w:ascii="Arial" w:eastAsia="Times New Roman" w:hAnsi="Arial" w:cs="Arial"/>
          <w:sz w:val="22"/>
          <w:szCs w:val="22"/>
          <w:lang w:val="en"/>
        </w:rPr>
      </w:pPr>
      <w:r w:rsidRPr="00842278">
        <w:rPr>
          <w:rFonts w:ascii="Arial" w:eastAsia="Times New Roman" w:hAnsi="Arial" w:cs="Arial"/>
          <w:sz w:val="22"/>
          <w:szCs w:val="22"/>
          <w:lang w:val="en"/>
        </w:rPr>
        <w:t>Patients who are difficult to transfuse should have a written plan detailing: the transfusion requirements, a contingency plan for emergency transfusion, the contact details of the patient's sickle/</w:t>
      </w:r>
      <w:proofErr w:type="spellStart"/>
      <w:r w:rsidRPr="00842278">
        <w:rPr>
          <w:rFonts w:ascii="Arial" w:eastAsia="Times New Roman" w:hAnsi="Arial" w:cs="Arial"/>
          <w:sz w:val="22"/>
          <w:szCs w:val="22"/>
          <w:lang w:val="en"/>
        </w:rPr>
        <w:t>haematology</w:t>
      </w:r>
      <w:proofErr w:type="spellEnd"/>
      <w:r w:rsidRPr="00842278">
        <w:rPr>
          <w:rFonts w:ascii="Arial" w:eastAsia="Times New Roman" w:hAnsi="Arial" w:cs="Arial"/>
          <w:sz w:val="22"/>
          <w:szCs w:val="22"/>
          <w:lang w:val="en"/>
        </w:rPr>
        <w:t xml:space="preserve"> consultant and a recommendation to involve a National Blood Service reference laboratory.</w:t>
      </w:r>
    </w:p>
    <w:p w:rsidR="00842278" w:rsidRPr="00842278" w:rsidRDefault="00FB7672" w:rsidP="00842278">
      <w:pPr>
        <w:pStyle w:val="ListParagraph"/>
        <w:widowControl/>
        <w:numPr>
          <w:ilvl w:val="0"/>
          <w:numId w:val="33"/>
        </w:numPr>
        <w:autoSpaceDE/>
        <w:autoSpaceDN/>
        <w:adjustRightInd/>
        <w:spacing w:after="75"/>
        <w:rPr>
          <w:rFonts w:ascii="Arial" w:eastAsia="Times New Roman" w:hAnsi="Arial" w:cs="Arial"/>
          <w:sz w:val="22"/>
          <w:szCs w:val="22"/>
          <w:lang w:val="en"/>
        </w:rPr>
      </w:pPr>
      <w:r w:rsidRPr="00842278">
        <w:rPr>
          <w:rFonts w:ascii="Arial" w:eastAsia="Times New Roman" w:hAnsi="Arial" w:cs="Arial"/>
          <w:sz w:val="22"/>
          <w:szCs w:val="22"/>
          <w:lang w:val="en"/>
        </w:rPr>
        <w:t xml:space="preserve">In England, NHSBT provides hospital transfusion laboratories access to </w:t>
      </w:r>
      <w:r w:rsidRPr="00842278">
        <w:rPr>
          <w:rFonts w:ascii="Arial" w:eastAsia="Times New Roman" w:hAnsi="Arial" w:cs="Arial"/>
          <w:b/>
          <w:bCs/>
          <w:sz w:val="22"/>
          <w:szCs w:val="22"/>
          <w:lang w:val="en"/>
        </w:rPr>
        <w:t>Sp</w:t>
      </w:r>
      <w:r w:rsidRPr="00842278">
        <w:rPr>
          <w:rFonts w:ascii="Arial" w:eastAsia="Times New Roman" w:hAnsi="Arial" w:cs="Arial"/>
          <w:sz w:val="22"/>
          <w:szCs w:val="22"/>
          <w:lang w:val="en"/>
        </w:rPr>
        <w:t xml:space="preserve">ecialist Services Electronic Reporting System, delivered via </w:t>
      </w:r>
      <w:proofErr w:type="spellStart"/>
      <w:r w:rsidRPr="00842278">
        <w:rPr>
          <w:rFonts w:ascii="Arial" w:eastAsia="Times New Roman" w:hAnsi="Arial" w:cs="Arial"/>
          <w:sz w:val="22"/>
          <w:szCs w:val="22"/>
          <w:lang w:val="en"/>
        </w:rPr>
        <w:t>Sunquest</w:t>
      </w:r>
      <w:proofErr w:type="spellEnd"/>
      <w:r w:rsidRPr="00842278">
        <w:rPr>
          <w:rFonts w:ascii="Arial" w:eastAsia="Times New Roman" w:hAnsi="Arial" w:cs="Arial"/>
          <w:sz w:val="22"/>
          <w:szCs w:val="22"/>
          <w:lang w:val="en"/>
        </w:rPr>
        <w:t xml:space="preserve"> </w:t>
      </w:r>
      <w:r w:rsidRPr="00842278">
        <w:rPr>
          <w:rFonts w:ascii="Arial" w:eastAsia="Times New Roman" w:hAnsi="Arial" w:cs="Arial"/>
          <w:b/>
          <w:bCs/>
          <w:sz w:val="22"/>
          <w:szCs w:val="22"/>
          <w:lang w:val="en"/>
        </w:rPr>
        <w:t>ICE</w:t>
      </w:r>
      <w:r w:rsidRPr="00842278">
        <w:rPr>
          <w:rFonts w:ascii="Arial" w:eastAsia="Times New Roman" w:hAnsi="Arial" w:cs="Arial"/>
          <w:sz w:val="22"/>
          <w:szCs w:val="22"/>
          <w:lang w:val="en"/>
        </w:rPr>
        <w:t xml:space="preserve"> (</w:t>
      </w:r>
      <w:proofErr w:type="spellStart"/>
      <w:r w:rsidRPr="00842278">
        <w:rPr>
          <w:rFonts w:ascii="Arial" w:eastAsia="Times New Roman" w:hAnsi="Arial" w:cs="Arial"/>
          <w:sz w:val="22"/>
          <w:szCs w:val="22"/>
          <w:lang w:val="en"/>
        </w:rPr>
        <w:t>Sp</w:t>
      </w:r>
      <w:proofErr w:type="spellEnd"/>
      <w:r w:rsidRPr="00842278">
        <w:rPr>
          <w:rFonts w:ascii="Cambria Math" w:eastAsia="Times New Roman" w:hAnsi="Cambria Math" w:cs="Cambria Math"/>
          <w:sz w:val="22"/>
          <w:szCs w:val="22"/>
          <w:lang w:val="en"/>
        </w:rPr>
        <w:t>‐</w:t>
      </w:r>
      <w:r w:rsidRPr="00842278">
        <w:rPr>
          <w:rFonts w:ascii="Arial" w:eastAsia="Times New Roman" w:hAnsi="Arial" w:cs="Arial"/>
          <w:sz w:val="22"/>
          <w:szCs w:val="22"/>
          <w:lang w:val="en"/>
        </w:rPr>
        <w:t>ICE) for review of patient's serological records (</w:t>
      </w:r>
      <w:hyperlink r:id="rId13" w:history="1">
        <w:r w:rsidRPr="00842278">
          <w:rPr>
            <w:rFonts w:ascii="Arial" w:eastAsia="Times New Roman" w:hAnsi="Arial" w:cs="Arial"/>
            <w:sz w:val="22"/>
            <w:szCs w:val="22"/>
            <w:u w:val="single"/>
            <w:lang w:val="en"/>
          </w:rPr>
          <w:t>http://hospital.blood.co.uk/diagnostic-services/sp-ice-browser/www.hospital.blood.co.uk</w:t>
        </w:r>
      </w:hyperlink>
      <w:r w:rsidRPr="00842278">
        <w:rPr>
          <w:rFonts w:ascii="Arial" w:eastAsia="Times New Roman" w:hAnsi="Arial" w:cs="Arial"/>
          <w:sz w:val="22"/>
          <w:szCs w:val="22"/>
          <w:lang w:val="en"/>
        </w:rPr>
        <w:t xml:space="preserve">). </w:t>
      </w:r>
    </w:p>
    <w:p w:rsidR="00FB7672" w:rsidRPr="00842278" w:rsidRDefault="00FB7672" w:rsidP="00842278">
      <w:pPr>
        <w:pStyle w:val="ListParagraph"/>
        <w:widowControl/>
        <w:numPr>
          <w:ilvl w:val="0"/>
          <w:numId w:val="33"/>
        </w:numPr>
        <w:autoSpaceDE/>
        <w:autoSpaceDN/>
        <w:adjustRightInd/>
        <w:spacing w:after="75"/>
        <w:rPr>
          <w:rFonts w:ascii="Arial" w:eastAsia="Times New Roman" w:hAnsi="Arial" w:cs="Arial"/>
          <w:sz w:val="22"/>
          <w:szCs w:val="22"/>
          <w:lang w:val="en"/>
        </w:rPr>
      </w:pPr>
      <w:r w:rsidRPr="00842278">
        <w:rPr>
          <w:rFonts w:ascii="Arial" w:eastAsia="Times New Roman" w:hAnsi="Arial" w:cs="Arial"/>
          <w:sz w:val="22"/>
          <w:szCs w:val="22"/>
          <w:lang w:val="en"/>
        </w:rPr>
        <w:t>For long</w:t>
      </w:r>
      <w:r w:rsidRPr="00842278">
        <w:rPr>
          <w:rFonts w:ascii="Cambria Math" w:eastAsia="Times New Roman" w:hAnsi="Cambria Math" w:cs="Cambria Math"/>
          <w:sz w:val="22"/>
          <w:szCs w:val="22"/>
          <w:lang w:val="en"/>
        </w:rPr>
        <w:t>‐</w:t>
      </w:r>
      <w:r w:rsidRPr="00842278">
        <w:rPr>
          <w:rFonts w:ascii="Arial" w:eastAsia="Times New Roman" w:hAnsi="Arial" w:cs="Arial"/>
          <w:sz w:val="22"/>
          <w:szCs w:val="22"/>
          <w:lang w:val="en"/>
        </w:rPr>
        <w:t xml:space="preserve">term management, </w:t>
      </w:r>
      <w:proofErr w:type="spellStart"/>
      <w:r w:rsidRPr="00842278">
        <w:rPr>
          <w:rFonts w:ascii="Arial" w:eastAsia="Times New Roman" w:hAnsi="Arial" w:cs="Arial"/>
          <w:sz w:val="22"/>
          <w:szCs w:val="22"/>
          <w:lang w:val="en"/>
        </w:rPr>
        <w:t>hydroxycarbamide</w:t>
      </w:r>
      <w:proofErr w:type="spellEnd"/>
      <w:r w:rsidRPr="00842278">
        <w:rPr>
          <w:rFonts w:ascii="Arial" w:eastAsia="Times New Roman" w:hAnsi="Arial" w:cs="Arial"/>
          <w:sz w:val="22"/>
          <w:szCs w:val="22"/>
          <w:lang w:val="en"/>
        </w:rPr>
        <w:t xml:space="preserve"> can reduce the need for transfusions and should be considered (</w:t>
      </w:r>
      <w:proofErr w:type="spellStart"/>
      <w:r w:rsidRPr="00842278">
        <w:rPr>
          <w:rFonts w:ascii="Arial" w:eastAsia="Times New Roman" w:hAnsi="Arial" w:cs="Arial"/>
          <w:sz w:val="22"/>
          <w:szCs w:val="22"/>
          <w:lang w:val="en"/>
        </w:rPr>
        <w:t>Charache</w:t>
      </w:r>
      <w:proofErr w:type="spellEnd"/>
      <w:r w:rsidRPr="00842278">
        <w:rPr>
          <w:rFonts w:ascii="Arial" w:eastAsia="Times New Roman" w:hAnsi="Arial" w:cs="Arial"/>
          <w:sz w:val="22"/>
          <w:szCs w:val="22"/>
          <w:lang w:val="en"/>
        </w:rPr>
        <w:t xml:space="preserve"> </w:t>
      </w:r>
      <w:r w:rsidRPr="00842278">
        <w:rPr>
          <w:rFonts w:ascii="Arial" w:eastAsia="Times New Roman" w:hAnsi="Arial" w:cs="Arial"/>
          <w:i/>
          <w:iCs/>
          <w:sz w:val="22"/>
          <w:szCs w:val="22"/>
          <w:lang w:val="en"/>
        </w:rPr>
        <w:t>et al</w:t>
      </w:r>
      <w:r w:rsidRPr="00842278">
        <w:rPr>
          <w:rFonts w:ascii="Arial" w:eastAsia="Times New Roman" w:hAnsi="Arial" w:cs="Arial"/>
          <w:sz w:val="22"/>
          <w:szCs w:val="22"/>
          <w:lang w:val="en"/>
        </w:rPr>
        <w:t xml:space="preserve">, </w:t>
      </w:r>
      <w:hyperlink r:id="rId14" w:anchor="bjh14346-bib-0019" w:history="1">
        <w:r w:rsidRPr="00842278">
          <w:rPr>
            <w:rFonts w:ascii="Arial" w:eastAsia="Times New Roman" w:hAnsi="Arial" w:cs="Arial"/>
            <w:sz w:val="22"/>
            <w:szCs w:val="22"/>
            <w:u w:val="single"/>
            <w:lang w:val="en"/>
          </w:rPr>
          <w:t>1995</w:t>
        </w:r>
      </w:hyperlink>
      <w:r w:rsidRPr="00842278">
        <w:rPr>
          <w:rFonts w:ascii="Arial" w:eastAsia="Times New Roman" w:hAnsi="Arial" w:cs="Arial"/>
          <w:sz w:val="22"/>
          <w:szCs w:val="22"/>
          <w:lang w:val="en"/>
        </w:rPr>
        <w:t xml:space="preserve">). </w:t>
      </w:r>
    </w:p>
    <w:p w:rsidR="00FB7672" w:rsidRPr="00842278" w:rsidRDefault="00FB7672" w:rsidP="00802AE5">
      <w:pPr>
        <w:rPr>
          <w:rFonts w:ascii="Arial" w:hAnsi="Arial" w:cs="Arial"/>
          <w:b/>
          <w:sz w:val="22"/>
          <w:szCs w:val="22"/>
        </w:rPr>
      </w:pPr>
    </w:p>
    <w:p w:rsidR="00842278" w:rsidRPr="00842278" w:rsidRDefault="00842278" w:rsidP="00802AE5">
      <w:pPr>
        <w:rPr>
          <w:rFonts w:ascii="Arial" w:hAnsi="Arial" w:cs="Arial"/>
          <w:sz w:val="22"/>
          <w:szCs w:val="22"/>
        </w:rPr>
      </w:pPr>
      <w:r w:rsidRPr="00842278">
        <w:rPr>
          <w:rFonts w:ascii="Arial" w:hAnsi="Arial" w:cs="Arial"/>
          <w:sz w:val="22"/>
          <w:szCs w:val="22"/>
          <w:u w:val="single"/>
        </w:rPr>
        <w:t>At St George’s</w:t>
      </w:r>
      <w:r w:rsidRPr="00842278">
        <w:rPr>
          <w:rFonts w:ascii="Arial" w:hAnsi="Arial" w:cs="Arial"/>
          <w:sz w:val="22"/>
          <w:szCs w:val="22"/>
        </w:rPr>
        <w:t xml:space="preserve"> we undertake annual audits of alloantibody formation and existence. Patients with a complex antibody status are identified and discussed at a quarterly </w:t>
      </w:r>
      <w:proofErr w:type="spellStart"/>
      <w:r w:rsidRPr="00842278">
        <w:rPr>
          <w:rFonts w:ascii="Arial" w:hAnsi="Arial" w:cs="Arial"/>
          <w:sz w:val="22"/>
          <w:szCs w:val="22"/>
        </w:rPr>
        <w:t>haemoglobinopathy</w:t>
      </w:r>
      <w:proofErr w:type="spellEnd"/>
      <w:r w:rsidRPr="00842278">
        <w:rPr>
          <w:rFonts w:ascii="Arial" w:hAnsi="Arial" w:cs="Arial"/>
          <w:sz w:val="22"/>
          <w:szCs w:val="22"/>
        </w:rPr>
        <w:t xml:space="preserve"> transfusion meeting. </w:t>
      </w:r>
    </w:p>
    <w:p w:rsidR="00842278" w:rsidRPr="00842278" w:rsidRDefault="00842278" w:rsidP="00802AE5">
      <w:pPr>
        <w:rPr>
          <w:rFonts w:ascii="Arial" w:hAnsi="Arial" w:cs="Arial"/>
          <w:sz w:val="22"/>
          <w:szCs w:val="22"/>
        </w:rPr>
      </w:pPr>
    </w:p>
    <w:p w:rsidR="00842278" w:rsidRPr="00842278" w:rsidRDefault="00842278" w:rsidP="00802AE5">
      <w:pPr>
        <w:rPr>
          <w:rFonts w:ascii="Arial" w:hAnsi="Arial" w:cs="Arial"/>
          <w:sz w:val="22"/>
          <w:szCs w:val="22"/>
        </w:rPr>
      </w:pPr>
      <w:r w:rsidRPr="00842278">
        <w:rPr>
          <w:rFonts w:ascii="Arial" w:hAnsi="Arial" w:cs="Arial"/>
          <w:sz w:val="22"/>
          <w:szCs w:val="22"/>
        </w:rPr>
        <w:t xml:space="preserve">Patients should have need for transfusion reviewed by consultant in </w:t>
      </w:r>
      <w:proofErr w:type="spellStart"/>
      <w:r w:rsidRPr="00842278">
        <w:rPr>
          <w:rFonts w:ascii="Arial" w:hAnsi="Arial" w:cs="Arial"/>
          <w:sz w:val="22"/>
          <w:szCs w:val="22"/>
        </w:rPr>
        <w:t>haemoglobinopathy</w:t>
      </w:r>
      <w:proofErr w:type="spellEnd"/>
      <w:r w:rsidRPr="00842278">
        <w:rPr>
          <w:rFonts w:ascii="Arial" w:hAnsi="Arial" w:cs="Arial"/>
          <w:sz w:val="22"/>
          <w:szCs w:val="22"/>
        </w:rPr>
        <w:t xml:space="preserve"> and other disease </w:t>
      </w:r>
      <w:proofErr w:type="spellStart"/>
      <w:r w:rsidRPr="00842278">
        <w:rPr>
          <w:rFonts w:ascii="Arial" w:hAnsi="Arial" w:cs="Arial"/>
          <w:sz w:val="22"/>
          <w:szCs w:val="22"/>
        </w:rPr>
        <w:t>intervensions</w:t>
      </w:r>
      <w:proofErr w:type="spellEnd"/>
      <w:r w:rsidRPr="00842278">
        <w:rPr>
          <w:rFonts w:ascii="Arial" w:hAnsi="Arial" w:cs="Arial"/>
          <w:sz w:val="22"/>
          <w:szCs w:val="22"/>
        </w:rPr>
        <w:t xml:space="preserve"> considered (</w:t>
      </w:r>
      <w:proofErr w:type="spellStart"/>
      <w:r w:rsidRPr="00842278">
        <w:rPr>
          <w:rFonts w:ascii="Arial" w:hAnsi="Arial" w:cs="Arial"/>
          <w:sz w:val="22"/>
          <w:szCs w:val="22"/>
        </w:rPr>
        <w:t>eg</w:t>
      </w:r>
      <w:proofErr w:type="spellEnd"/>
      <w:r w:rsidRPr="00842278">
        <w:rPr>
          <w:rFonts w:ascii="Arial" w:hAnsi="Arial" w:cs="Arial"/>
          <w:sz w:val="22"/>
          <w:szCs w:val="22"/>
        </w:rPr>
        <w:t xml:space="preserve"> </w:t>
      </w:r>
      <w:proofErr w:type="spellStart"/>
      <w:r w:rsidRPr="00842278">
        <w:rPr>
          <w:rFonts w:ascii="Arial" w:hAnsi="Arial" w:cs="Arial"/>
          <w:sz w:val="22"/>
          <w:szCs w:val="22"/>
        </w:rPr>
        <w:t>hydroxycarbamide</w:t>
      </w:r>
      <w:proofErr w:type="spellEnd"/>
      <w:r w:rsidRPr="00842278">
        <w:rPr>
          <w:rFonts w:ascii="Arial" w:hAnsi="Arial" w:cs="Arial"/>
          <w:sz w:val="22"/>
          <w:szCs w:val="22"/>
        </w:rPr>
        <w:t>, novel therapies)</w:t>
      </w:r>
    </w:p>
    <w:p w:rsidR="00842278" w:rsidRPr="00842278" w:rsidRDefault="00842278" w:rsidP="00802AE5">
      <w:pPr>
        <w:rPr>
          <w:rFonts w:ascii="Arial" w:hAnsi="Arial" w:cs="Arial"/>
          <w:sz w:val="22"/>
          <w:szCs w:val="22"/>
        </w:rPr>
      </w:pPr>
    </w:p>
    <w:p w:rsidR="00842278" w:rsidRPr="00842278" w:rsidRDefault="00842278" w:rsidP="00802AE5">
      <w:pPr>
        <w:rPr>
          <w:rFonts w:ascii="Arial" w:hAnsi="Arial" w:cs="Arial"/>
          <w:sz w:val="22"/>
          <w:szCs w:val="22"/>
        </w:rPr>
      </w:pPr>
      <w:r w:rsidRPr="00842278">
        <w:rPr>
          <w:rFonts w:ascii="Arial" w:hAnsi="Arial" w:cs="Arial"/>
          <w:sz w:val="22"/>
          <w:szCs w:val="22"/>
        </w:rPr>
        <w:t>In particular patients are identified who would fulfil the following criteria</w:t>
      </w:r>
    </w:p>
    <w:p w:rsidR="00842278" w:rsidRPr="00842278" w:rsidRDefault="00842278" w:rsidP="00802AE5">
      <w:pPr>
        <w:rPr>
          <w:rFonts w:ascii="Arial" w:hAnsi="Arial" w:cs="Arial"/>
          <w:sz w:val="22"/>
          <w:szCs w:val="22"/>
        </w:rPr>
      </w:pPr>
    </w:p>
    <w:p w:rsidR="00842278" w:rsidRPr="00842278" w:rsidRDefault="00842278" w:rsidP="00842278">
      <w:pPr>
        <w:pStyle w:val="ListParagraph"/>
        <w:widowControl/>
        <w:numPr>
          <w:ilvl w:val="0"/>
          <w:numId w:val="34"/>
        </w:numPr>
        <w:autoSpaceDE/>
        <w:autoSpaceDN/>
        <w:adjustRightInd/>
        <w:spacing w:after="200" w:line="276" w:lineRule="auto"/>
        <w:contextualSpacing/>
        <w:rPr>
          <w:rFonts w:ascii="Arial" w:hAnsi="Arial" w:cs="Arial"/>
          <w:sz w:val="22"/>
          <w:szCs w:val="22"/>
        </w:rPr>
      </w:pPr>
      <w:r w:rsidRPr="00842278">
        <w:rPr>
          <w:rFonts w:ascii="Arial" w:hAnsi="Arial" w:cs="Arial"/>
          <w:sz w:val="22"/>
          <w:szCs w:val="22"/>
        </w:rPr>
        <w:t xml:space="preserve">History of </w:t>
      </w:r>
      <w:proofErr w:type="spellStart"/>
      <w:r w:rsidRPr="00842278">
        <w:rPr>
          <w:rFonts w:ascii="Arial" w:hAnsi="Arial" w:cs="Arial"/>
          <w:sz w:val="22"/>
          <w:szCs w:val="22"/>
        </w:rPr>
        <w:t>hyperhaemolysis</w:t>
      </w:r>
      <w:proofErr w:type="spellEnd"/>
    </w:p>
    <w:p w:rsidR="00842278" w:rsidRPr="00842278" w:rsidRDefault="00842278" w:rsidP="00842278">
      <w:pPr>
        <w:pStyle w:val="ListParagraph"/>
        <w:widowControl/>
        <w:numPr>
          <w:ilvl w:val="0"/>
          <w:numId w:val="34"/>
        </w:numPr>
        <w:autoSpaceDE/>
        <w:autoSpaceDN/>
        <w:adjustRightInd/>
        <w:spacing w:after="200" w:line="276" w:lineRule="auto"/>
        <w:contextualSpacing/>
        <w:rPr>
          <w:rFonts w:ascii="Arial" w:hAnsi="Arial" w:cs="Arial"/>
          <w:sz w:val="22"/>
          <w:szCs w:val="22"/>
        </w:rPr>
      </w:pPr>
      <w:r w:rsidRPr="00842278">
        <w:rPr>
          <w:rFonts w:ascii="Arial" w:hAnsi="Arial" w:cs="Arial"/>
          <w:sz w:val="22"/>
          <w:szCs w:val="22"/>
        </w:rPr>
        <w:t xml:space="preserve">at least 3 alloantibodies </w:t>
      </w:r>
    </w:p>
    <w:p w:rsidR="00842278" w:rsidRPr="00842278" w:rsidRDefault="00842278" w:rsidP="00842278">
      <w:pPr>
        <w:pStyle w:val="ListParagraph"/>
        <w:widowControl/>
        <w:numPr>
          <w:ilvl w:val="0"/>
          <w:numId w:val="34"/>
        </w:numPr>
        <w:autoSpaceDE/>
        <w:autoSpaceDN/>
        <w:adjustRightInd/>
        <w:spacing w:after="200" w:line="276" w:lineRule="auto"/>
        <w:contextualSpacing/>
        <w:rPr>
          <w:rFonts w:ascii="Arial" w:hAnsi="Arial" w:cs="Arial"/>
          <w:sz w:val="22"/>
          <w:szCs w:val="22"/>
        </w:rPr>
      </w:pPr>
      <w:r w:rsidRPr="00842278">
        <w:rPr>
          <w:rFonts w:ascii="Arial" w:hAnsi="Arial" w:cs="Arial"/>
          <w:sz w:val="22"/>
          <w:szCs w:val="22"/>
        </w:rPr>
        <w:t>anti-U</w:t>
      </w:r>
    </w:p>
    <w:p w:rsidR="00842278" w:rsidRPr="00842278" w:rsidRDefault="00842278" w:rsidP="00842278">
      <w:pPr>
        <w:pStyle w:val="ListParagraph"/>
        <w:widowControl/>
        <w:numPr>
          <w:ilvl w:val="0"/>
          <w:numId w:val="34"/>
        </w:numPr>
        <w:autoSpaceDE/>
        <w:autoSpaceDN/>
        <w:adjustRightInd/>
        <w:spacing w:after="200" w:line="276" w:lineRule="auto"/>
        <w:contextualSpacing/>
        <w:rPr>
          <w:rFonts w:ascii="Arial" w:hAnsi="Arial" w:cs="Arial"/>
          <w:sz w:val="22"/>
          <w:szCs w:val="22"/>
        </w:rPr>
      </w:pPr>
      <w:r w:rsidRPr="00842278">
        <w:rPr>
          <w:rFonts w:ascii="Arial" w:hAnsi="Arial" w:cs="Arial"/>
          <w:sz w:val="22"/>
          <w:szCs w:val="22"/>
        </w:rPr>
        <w:t>anti-</w:t>
      </w:r>
      <w:proofErr w:type="spellStart"/>
      <w:r w:rsidRPr="00842278">
        <w:rPr>
          <w:rFonts w:ascii="Arial" w:hAnsi="Arial" w:cs="Arial"/>
          <w:sz w:val="22"/>
          <w:szCs w:val="22"/>
        </w:rPr>
        <w:t>Fya</w:t>
      </w:r>
      <w:proofErr w:type="spellEnd"/>
      <w:r w:rsidRPr="00842278">
        <w:rPr>
          <w:rFonts w:ascii="Arial" w:hAnsi="Arial" w:cs="Arial"/>
          <w:sz w:val="22"/>
          <w:szCs w:val="22"/>
        </w:rPr>
        <w:t xml:space="preserve"> and anti </w:t>
      </w:r>
      <w:proofErr w:type="spellStart"/>
      <w:r w:rsidRPr="00842278">
        <w:rPr>
          <w:rFonts w:ascii="Arial" w:hAnsi="Arial" w:cs="Arial"/>
          <w:sz w:val="22"/>
          <w:szCs w:val="22"/>
        </w:rPr>
        <w:t>Fyb</w:t>
      </w:r>
      <w:proofErr w:type="spellEnd"/>
      <w:r w:rsidRPr="00842278">
        <w:rPr>
          <w:rFonts w:ascii="Arial" w:hAnsi="Arial" w:cs="Arial"/>
          <w:sz w:val="22"/>
          <w:szCs w:val="22"/>
        </w:rPr>
        <w:t xml:space="preserve"> together (antiFy3)</w:t>
      </w:r>
    </w:p>
    <w:p w:rsidR="00842278" w:rsidRPr="00842278" w:rsidRDefault="00842278" w:rsidP="00842278">
      <w:pPr>
        <w:pStyle w:val="ListParagraph"/>
        <w:widowControl/>
        <w:numPr>
          <w:ilvl w:val="0"/>
          <w:numId w:val="34"/>
        </w:numPr>
        <w:autoSpaceDE/>
        <w:autoSpaceDN/>
        <w:adjustRightInd/>
        <w:spacing w:after="200" w:line="276" w:lineRule="auto"/>
        <w:contextualSpacing/>
        <w:rPr>
          <w:rFonts w:ascii="Arial" w:hAnsi="Arial" w:cs="Arial"/>
          <w:sz w:val="22"/>
          <w:szCs w:val="22"/>
        </w:rPr>
      </w:pPr>
      <w:r w:rsidRPr="00842278">
        <w:rPr>
          <w:rFonts w:ascii="Arial" w:hAnsi="Arial" w:cs="Arial"/>
          <w:sz w:val="22"/>
          <w:szCs w:val="22"/>
        </w:rPr>
        <w:t>anti-</w:t>
      </w:r>
      <w:proofErr w:type="spellStart"/>
      <w:r w:rsidRPr="00842278">
        <w:rPr>
          <w:rFonts w:ascii="Arial" w:hAnsi="Arial" w:cs="Arial"/>
          <w:sz w:val="22"/>
          <w:szCs w:val="22"/>
        </w:rPr>
        <w:t>Jsb</w:t>
      </w:r>
      <w:proofErr w:type="spellEnd"/>
    </w:p>
    <w:p w:rsidR="00842278" w:rsidRPr="00842278" w:rsidRDefault="00842278" w:rsidP="00842278">
      <w:pPr>
        <w:pStyle w:val="ListParagraph"/>
        <w:widowControl/>
        <w:numPr>
          <w:ilvl w:val="0"/>
          <w:numId w:val="34"/>
        </w:numPr>
        <w:autoSpaceDE/>
        <w:autoSpaceDN/>
        <w:adjustRightInd/>
        <w:spacing w:after="200" w:line="276" w:lineRule="auto"/>
        <w:contextualSpacing/>
        <w:rPr>
          <w:rFonts w:ascii="Arial" w:hAnsi="Arial" w:cs="Arial"/>
          <w:sz w:val="22"/>
          <w:szCs w:val="22"/>
        </w:rPr>
      </w:pPr>
      <w:proofErr w:type="gramStart"/>
      <w:r w:rsidRPr="00842278">
        <w:rPr>
          <w:rFonts w:ascii="Arial" w:hAnsi="Arial" w:cs="Arial"/>
          <w:sz w:val="22"/>
          <w:szCs w:val="22"/>
        </w:rPr>
        <w:t>presence</w:t>
      </w:r>
      <w:proofErr w:type="gramEnd"/>
      <w:r w:rsidRPr="00842278">
        <w:rPr>
          <w:rFonts w:ascii="Arial" w:hAnsi="Arial" w:cs="Arial"/>
          <w:sz w:val="22"/>
          <w:szCs w:val="22"/>
        </w:rPr>
        <w:t xml:space="preserve"> of an antibody to which antigen negativity occurs in less than 5% of the current donor population in England; e.g. </w:t>
      </w:r>
      <w:proofErr w:type="spellStart"/>
      <w:r w:rsidRPr="00842278">
        <w:rPr>
          <w:rFonts w:ascii="Arial" w:hAnsi="Arial" w:cs="Arial"/>
          <w:sz w:val="22"/>
          <w:szCs w:val="22"/>
        </w:rPr>
        <w:t>Kp</w:t>
      </w:r>
      <w:proofErr w:type="spellEnd"/>
      <w:r w:rsidRPr="00842278">
        <w:rPr>
          <w:rFonts w:ascii="Arial" w:hAnsi="Arial" w:cs="Arial"/>
          <w:sz w:val="22"/>
          <w:szCs w:val="22"/>
        </w:rPr>
        <w:t>(b), k, Lu(b), (+others?)</w:t>
      </w:r>
    </w:p>
    <w:p w:rsidR="00842278" w:rsidRPr="00842278" w:rsidRDefault="00842278" w:rsidP="00842278">
      <w:pPr>
        <w:pStyle w:val="ListParagraph"/>
        <w:widowControl/>
        <w:numPr>
          <w:ilvl w:val="0"/>
          <w:numId w:val="34"/>
        </w:numPr>
        <w:autoSpaceDE/>
        <w:autoSpaceDN/>
        <w:adjustRightInd/>
        <w:spacing w:after="200" w:line="276" w:lineRule="auto"/>
        <w:contextualSpacing/>
        <w:rPr>
          <w:rFonts w:ascii="Arial" w:hAnsi="Arial" w:cs="Arial"/>
          <w:sz w:val="22"/>
          <w:szCs w:val="22"/>
        </w:rPr>
      </w:pPr>
      <w:r w:rsidRPr="00842278">
        <w:rPr>
          <w:rFonts w:ascii="Arial" w:hAnsi="Arial" w:cs="Arial"/>
          <w:sz w:val="22"/>
          <w:szCs w:val="22"/>
        </w:rPr>
        <w:t>U negative antigen</w:t>
      </w:r>
    </w:p>
    <w:p w:rsidR="00842278" w:rsidRDefault="00842278" w:rsidP="00802AE5">
      <w:pPr>
        <w:rPr>
          <w:rFonts w:ascii="Arial" w:hAnsi="Arial" w:cs="Arial"/>
          <w:b/>
          <w:color w:val="003366"/>
          <w:sz w:val="22"/>
          <w:szCs w:val="22"/>
        </w:rPr>
      </w:pPr>
    </w:p>
    <w:p w:rsidR="00FB7672" w:rsidRPr="003B6573" w:rsidRDefault="00FB7672" w:rsidP="00802AE5">
      <w:pPr>
        <w:rPr>
          <w:rFonts w:ascii="Arial" w:hAnsi="Arial" w:cs="Arial"/>
          <w:b/>
          <w:color w:val="003366"/>
          <w:sz w:val="22"/>
          <w:szCs w:val="22"/>
        </w:rPr>
      </w:pPr>
    </w:p>
    <w:p w:rsidR="00842278" w:rsidRDefault="002A1369" w:rsidP="00842278">
      <w:pPr>
        <w:pStyle w:val="Heading2"/>
        <w:tabs>
          <w:tab w:val="left" w:pos="636"/>
        </w:tabs>
        <w:kinsoku w:val="0"/>
        <w:overflowPunct w:val="0"/>
        <w:ind w:left="460" w:right="1" w:firstLine="0"/>
        <w:rPr>
          <w:sz w:val="22"/>
          <w:szCs w:val="22"/>
        </w:rPr>
      </w:pPr>
      <w:r>
        <w:rPr>
          <w:sz w:val="22"/>
          <w:szCs w:val="22"/>
        </w:rPr>
        <w:t xml:space="preserve"> </w:t>
      </w:r>
    </w:p>
    <w:p w:rsidR="00842278" w:rsidRDefault="00842278">
      <w:pPr>
        <w:widowControl/>
        <w:autoSpaceDE/>
        <w:autoSpaceDN/>
        <w:adjustRightInd/>
        <w:spacing w:after="200" w:line="276" w:lineRule="auto"/>
        <w:rPr>
          <w:rFonts w:ascii="Arial" w:hAnsi="Arial" w:cs="Arial"/>
          <w:b/>
          <w:bCs/>
          <w:sz w:val="22"/>
          <w:szCs w:val="22"/>
        </w:rPr>
      </w:pPr>
      <w:r>
        <w:rPr>
          <w:sz w:val="22"/>
          <w:szCs w:val="22"/>
        </w:rPr>
        <w:br w:type="page"/>
      </w:r>
    </w:p>
    <w:p w:rsidR="00FC5932" w:rsidRPr="00C96A81" w:rsidRDefault="002A1369" w:rsidP="002A1369">
      <w:pPr>
        <w:pStyle w:val="Heading2"/>
        <w:numPr>
          <w:ilvl w:val="0"/>
          <w:numId w:val="20"/>
        </w:numPr>
        <w:tabs>
          <w:tab w:val="left" w:pos="636"/>
        </w:tabs>
        <w:kinsoku w:val="0"/>
        <w:overflowPunct w:val="0"/>
        <w:ind w:right="1"/>
        <w:rPr>
          <w:b w:val="0"/>
          <w:bCs w:val="0"/>
          <w:sz w:val="22"/>
          <w:szCs w:val="22"/>
        </w:rPr>
      </w:pPr>
      <w:r>
        <w:rPr>
          <w:sz w:val="22"/>
          <w:szCs w:val="22"/>
        </w:rPr>
        <w:lastRenderedPageBreak/>
        <w:t xml:space="preserve"> </w:t>
      </w:r>
      <w:r w:rsidR="00FC5932" w:rsidRPr="00C96A81">
        <w:rPr>
          <w:sz w:val="22"/>
          <w:szCs w:val="22"/>
        </w:rPr>
        <w:t>Dissemination and</w:t>
      </w:r>
      <w:r w:rsidR="00FC5932" w:rsidRPr="00C96A81">
        <w:rPr>
          <w:spacing w:val="-1"/>
          <w:sz w:val="22"/>
          <w:szCs w:val="22"/>
        </w:rPr>
        <w:t xml:space="preserve"> </w:t>
      </w:r>
      <w:r w:rsidR="00FC5932" w:rsidRPr="00C96A81">
        <w:rPr>
          <w:sz w:val="22"/>
          <w:szCs w:val="22"/>
        </w:rPr>
        <w:t>implementation</w:t>
      </w:r>
    </w:p>
    <w:p w:rsidR="00FC5932" w:rsidRPr="00C96A81" w:rsidRDefault="00FC5932" w:rsidP="00FC5932">
      <w:pPr>
        <w:pStyle w:val="BodyText"/>
        <w:kinsoku w:val="0"/>
        <w:overflowPunct w:val="0"/>
        <w:spacing w:before="1"/>
        <w:ind w:left="0"/>
        <w:rPr>
          <w:b/>
          <w:bCs/>
        </w:rPr>
      </w:pPr>
    </w:p>
    <w:p w:rsidR="00F53907" w:rsidRPr="0024421F" w:rsidRDefault="00F53907" w:rsidP="00F53907">
      <w:pPr>
        <w:pStyle w:val="Heading3"/>
        <w:kinsoku w:val="0"/>
        <w:overflowPunct w:val="0"/>
        <w:spacing w:line="252" w:lineRule="exact"/>
        <w:ind w:left="640"/>
        <w:jc w:val="both"/>
        <w:rPr>
          <w:b w:val="0"/>
          <w:bCs w:val="0"/>
        </w:rPr>
      </w:pPr>
      <w:r w:rsidRPr="0024421F">
        <w:t>7.1</w:t>
      </w:r>
      <w:r w:rsidRPr="0024421F">
        <w:rPr>
          <w:spacing w:val="-4"/>
        </w:rPr>
        <w:t xml:space="preserve"> </w:t>
      </w:r>
      <w:r w:rsidRPr="0024421F">
        <w:t>Dissemination:</w:t>
      </w:r>
    </w:p>
    <w:p w:rsidR="00F53907" w:rsidRPr="0024421F" w:rsidRDefault="00F53907" w:rsidP="00F53907">
      <w:pPr>
        <w:pStyle w:val="BodyText"/>
        <w:kinsoku w:val="0"/>
        <w:overflowPunct w:val="0"/>
        <w:ind w:right="112"/>
        <w:jc w:val="both"/>
      </w:pPr>
      <w:r w:rsidRPr="0024421F">
        <w:t xml:space="preserve">Guidelines will be available on the departmental intranet page and available in paper form in the junior doctor office in haematology. </w:t>
      </w:r>
    </w:p>
    <w:p w:rsidR="00F53907" w:rsidRPr="0024421F" w:rsidRDefault="00F53907" w:rsidP="00F53907">
      <w:pPr>
        <w:pStyle w:val="BodyText"/>
        <w:kinsoku w:val="0"/>
        <w:overflowPunct w:val="0"/>
        <w:ind w:left="0"/>
      </w:pPr>
    </w:p>
    <w:p w:rsidR="00F53907" w:rsidRPr="0024421F" w:rsidRDefault="00F53907" w:rsidP="00F53907">
      <w:pPr>
        <w:pStyle w:val="Heading3"/>
        <w:kinsoku w:val="0"/>
        <w:overflowPunct w:val="0"/>
        <w:spacing w:line="252" w:lineRule="exact"/>
        <w:ind w:left="640"/>
        <w:jc w:val="both"/>
        <w:rPr>
          <w:b w:val="0"/>
          <w:bCs w:val="0"/>
        </w:rPr>
      </w:pPr>
      <w:r w:rsidRPr="0024421F">
        <w:t>7.2.</w:t>
      </w:r>
      <w:r w:rsidRPr="0024421F">
        <w:rPr>
          <w:spacing w:val="-4"/>
        </w:rPr>
        <w:t xml:space="preserve"> </w:t>
      </w:r>
      <w:r w:rsidRPr="0024421F">
        <w:t>Implementation</w:t>
      </w:r>
    </w:p>
    <w:p w:rsidR="00F53907" w:rsidRPr="0024421F" w:rsidRDefault="00F53907" w:rsidP="00F53907">
      <w:pPr>
        <w:pStyle w:val="BodyText"/>
        <w:kinsoku w:val="0"/>
        <w:overflowPunct w:val="0"/>
        <w:ind w:right="1"/>
      </w:pPr>
      <w:r w:rsidRPr="0024421F">
        <w:t xml:space="preserve">Guidelines will be promoted by the </w:t>
      </w:r>
      <w:proofErr w:type="spellStart"/>
      <w:r w:rsidRPr="0024421F">
        <w:t>haemoglobinopathy</w:t>
      </w:r>
      <w:proofErr w:type="spellEnd"/>
      <w:r w:rsidRPr="0024421F">
        <w:t xml:space="preserve"> team</w:t>
      </w:r>
      <w:r w:rsidR="00A00023">
        <w:t>.</w:t>
      </w:r>
    </w:p>
    <w:p w:rsidR="00F53907" w:rsidRPr="0024421F" w:rsidRDefault="00F53907" w:rsidP="00F53907">
      <w:pPr>
        <w:pStyle w:val="BodyText"/>
        <w:kinsoku w:val="0"/>
        <w:overflowPunct w:val="0"/>
        <w:spacing w:before="1"/>
        <w:ind w:left="0"/>
      </w:pPr>
    </w:p>
    <w:p w:rsidR="00F53907" w:rsidRPr="0024421F" w:rsidRDefault="00F53907" w:rsidP="00F53907">
      <w:pPr>
        <w:pStyle w:val="Heading2"/>
        <w:numPr>
          <w:ilvl w:val="0"/>
          <w:numId w:val="20"/>
        </w:numPr>
        <w:tabs>
          <w:tab w:val="left" w:pos="640"/>
        </w:tabs>
        <w:kinsoku w:val="0"/>
        <w:overflowPunct w:val="0"/>
        <w:spacing w:line="276" w:lineRule="exact"/>
        <w:ind w:left="639" w:right="1" w:hanging="539"/>
        <w:rPr>
          <w:rFonts w:ascii="Times New Roman" w:hAnsi="Times New Roman" w:cs="Times New Roman"/>
          <w:b w:val="0"/>
          <w:bCs w:val="0"/>
          <w:sz w:val="22"/>
          <w:szCs w:val="22"/>
        </w:rPr>
      </w:pPr>
      <w:r w:rsidRPr="0024421F">
        <w:rPr>
          <w:bCs w:val="0"/>
          <w:sz w:val="22"/>
          <w:szCs w:val="22"/>
        </w:rPr>
        <w:t>Consequences of Breaching the Policy</w:t>
      </w:r>
    </w:p>
    <w:p w:rsidR="00F53907" w:rsidRPr="0024421F" w:rsidRDefault="00F53907" w:rsidP="00F53907">
      <w:pPr>
        <w:pStyle w:val="Heading2"/>
        <w:tabs>
          <w:tab w:val="left" w:pos="640"/>
        </w:tabs>
        <w:kinsoku w:val="0"/>
        <w:overflowPunct w:val="0"/>
        <w:spacing w:line="276" w:lineRule="exact"/>
        <w:ind w:left="639" w:right="1" w:firstLine="0"/>
        <w:rPr>
          <w:rFonts w:ascii="Times New Roman" w:hAnsi="Times New Roman" w:cs="Times New Roman"/>
          <w:b w:val="0"/>
          <w:bCs w:val="0"/>
          <w:sz w:val="22"/>
          <w:szCs w:val="22"/>
        </w:rPr>
      </w:pPr>
    </w:p>
    <w:p w:rsidR="00F53907" w:rsidRPr="0024421F" w:rsidRDefault="00F53907" w:rsidP="00F53907">
      <w:pPr>
        <w:pStyle w:val="Heading2"/>
        <w:tabs>
          <w:tab w:val="left" w:pos="640"/>
        </w:tabs>
        <w:kinsoku w:val="0"/>
        <w:overflowPunct w:val="0"/>
        <w:spacing w:line="276" w:lineRule="exact"/>
        <w:ind w:left="639" w:right="1" w:firstLine="0"/>
        <w:rPr>
          <w:rFonts w:ascii="Times New Roman" w:hAnsi="Times New Roman" w:cs="Times New Roman"/>
          <w:b w:val="0"/>
          <w:bCs w:val="0"/>
          <w:sz w:val="22"/>
          <w:szCs w:val="22"/>
        </w:rPr>
      </w:pPr>
      <w:r w:rsidRPr="0024421F">
        <w:rPr>
          <w:b w:val="0"/>
          <w:bCs w:val="0"/>
          <w:sz w:val="22"/>
          <w:szCs w:val="22"/>
        </w:rPr>
        <w:t xml:space="preserve">Failing to follow this policy could lead to action under the Trust’s disciplinary policy. </w:t>
      </w:r>
      <w:r w:rsidRPr="0024421F">
        <w:rPr>
          <w:rFonts w:ascii="Times New Roman" w:hAnsi="Times New Roman" w:cs="Times New Roman"/>
          <w:b w:val="0"/>
          <w:bCs w:val="0"/>
          <w:sz w:val="22"/>
          <w:szCs w:val="22"/>
        </w:rPr>
        <w:t xml:space="preserve"> </w:t>
      </w:r>
    </w:p>
    <w:p w:rsidR="00F53907" w:rsidRPr="0024421F" w:rsidRDefault="00F53907" w:rsidP="00F53907">
      <w:pPr>
        <w:rPr>
          <w:sz w:val="22"/>
          <w:szCs w:val="22"/>
        </w:rPr>
      </w:pPr>
    </w:p>
    <w:p w:rsidR="00F53907" w:rsidRPr="0024421F" w:rsidRDefault="00F53907" w:rsidP="00F53907">
      <w:pPr>
        <w:pStyle w:val="Heading2"/>
        <w:numPr>
          <w:ilvl w:val="0"/>
          <w:numId w:val="20"/>
        </w:numPr>
        <w:tabs>
          <w:tab w:val="left" w:pos="640"/>
        </w:tabs>
        <w:kinsoku w:val="0"/>
        <w:overflowPunct w:val="0"/>
        <w:spacing w:line="276" w:lineRule="exact"/>
        <w:ind w:left="639" w:right="1" w:hanging="539"/>
        <w:rPr>
          <w:b w:val="0"/>
          <w:bCs w:val="0"/>
          <w:sz w:val="22"/>
          <w:szCs w:val="22"/>
        </w:rPr>
      </w:pPr>
      <w:r w:rsidRPr="0024421F">
        <w:rPr>
          <w:sz w:val="22"/>
          <w:szCs w:val="22"/>
        </w:rPr>
        <w:t>Monitoring</w:t>
      </w:r>
      <w:r w:rsidRPr="0024421F">
        <w:rPr>
          <w:spacing w:val="-1"/>
          <w:sz w:val="22"/>
          <w:szCs w:val="22"/>
        </w:rPr>
        <w:t xml:space="preserve"> </w:t>
      </w:r>
      <w:r w:rsidRPr="0024421F">
        <w:rPr>
          <w:sz w:val="22"/>
          <w:szCs w:val="22"/>
        </w:rPr>
        <w:t>compliance</w:t>
      </w:r>
    </w:p>
    <w:p w:rsidR="00FC5932" w:rsidRDefault="00F53907" w:rsidP="00F53907">
      <w:pPr>
        <w:pStyle w:val="BodyText"/>
        <w:kinsoku w:val="0"/>
        <w:overflowPunct w:val="0"/>
        <w:jc w:val="both"/>
        <w:sectPr w:rsidR="00FC5932">
          <w:pgSz w:w="11900" w:h="16840"/>
          <w:pgMar w:top="360" w:right="1320" w:bottom="1060" w:left="980" w:header="0" w:footer="878" w:gutter="0"/>
          <w:cols w:space="720" w:equalWidth="0">
            <w:col w:w="9600"/>
          </w:cols>
          <w:noEndnote/>
        </w:sectPr>
      </w:pPr>
      <w:r w:rsidRPr="0024421F">
        <w:t>The table below outlines the process for monitoring compliance with this</w:t>
      </w:r>
      <w:r w:rsidRPr="0024421F">
        <w:rPr>
          <w:spacing w:val="-18"/>
        </w:rPr>
        <w:t xml:space="preserve"> </w:t>
      </w:r>
      <w:r w:rsidRPr="0024421F">
        <w:t>document</w:t>
      </w:r>
      <w:r>
        <w:t>.</w:t>
      </w: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spacing w:before="5"/>
        <w:ind w:left="0"/>
        <w:rPr>
          <w:i/>
          <w:iCs/>
          <w:sz w:val="25"/>
          <w:szCs w:val="25"/>
        </w:rPr>
      </w:pPr>
    </w:p>
    <w:tbl>
      <w:tblPr>
        <w:tblW w:w="0" w:type="auto"/>
        <w:tblInd w:w="110" w:type="dxa"/>
        <w:tblLayout w:type="fixed"/>
        <w:tblCellMar>
          <w:left w:w="0" w:type="dxa"/>
          <w:right w:w="0" w:type="dxa"/>
        </w:tblCellMar>
        <w:tblLook w:val="0000" w:firstRow="0" w:lastRow="0" w:firstColumn="0" w:lastColumn="0" w:noHBand="0" w:noVBand="0"/>
      </w:tblPr>
      <w:tblGrid>
        <w:gridCol w:w="1908"/>
        <w:gridCol w:w="2520"/>
        <w:gridCol w:w="2700"/>
        <w:gridCol w:w="2601"/>
        <w:gridCol w:w="2520"/>
        <w:gridCol w:w="2520"/>
      </w:tblGrid>
      <w:tr w:rsidR="00FC5932">
        <w:trPr>
          <w:trHeight w:hRule="exact" w:val="540"/>
        </w:trPr>
        <w:tc>
          <w:tcPr>
            <w:tcW w:w="14769" w:type="dxa"/>
            <w:gridSpan w:val="6"/>
            <w:tcBorders>
              <w:top w:val="single" w:sz="4" w:space="0" w:color="000000"/>
              <w:left w:val="single" w:sz="4" w:space="0" w:color="000000"/>
              <w:bottom w:val="single" w:sz="4" w:space="0" w:color="000000"/>
              <w:right w:val="single" w:sz="4" w:space="0" w:color="000000"/>
            </w:tcBorders>
          </w:tcPr>
          <w:p w:rsidR="00FC5932" w:rsidRDefault="00FC5932" w:rsidP="0098329C">
            <w:pPr>
              <w:pStyle w:val="TableParagraph"/>
              <w:kinsoku w:val="0"/>
              <w:overflowPunct w:val="0"/>
              <w:spacing w:line="275" w:lineRule="exact"/>
              <w:ind w:left="4712"/>
            </w:pPr>
            <w:r>
              <w:rPr>
                <w:rFonts w:ascii="Arial" w:hAnsi="Arial" w:cs="Arial"/>
                <w:b/>
                <w:bCs/>
              </w:rPr>
              <w:t>Monitoring compliance and effectiveness</w:t>
            </w:r>
            <w:r>
              <w:rPr>
                <w:rFonts w:ascii="Arial" w:hAnsi="Arial" w:cs="Arial"/>
                <w:b/>
                <w:bCs/>
                <w:spacing w:val="-37"/>
              </w:rPr>
              <w:t xml:space="preserve"> </w:t>
            </w:r>
            <w:r>
              <w:rPr>
                <w:rFonts w:ascii="Arial" w:hAnsi="Arial" w:cs="Arial"/>
                <w:b/>
                <w:bCs/>
              </w:rPr>
              <w:t>table</w:t>
            </w:r>
          </w:p>
        </w:tc>
      </w:tr>
      <w:tr w:rsidR="00FC5932">
        <w:trPr>
          <w:trHeight w:hRule="exact" w:val="1062"/>
        </w:trPr>
        <w:tc>
          <w:tcPr>
            <w:tcW w:w="1908"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349"/>
            </w:pPr>
            <w:r>
              <w:rPr>
                <w:rFonts w:ascii="Arial" w:hAnsi="Arial" w:cs="Arial"/>
                <w:b/>
                <w:bCs/>
                <w:sz w:val="22"/>
                <w:szCs w:val="22"/>
              </w:rPr>
              <w:t>Element/</w:t>
            </w:r>
            <w:r>
              <w:rPr>
                <w:rFonts w:ascii="Arial" w:hAnsi="Arial" w:cs="Arial"/>
                <w:b/>
                <w:bCs/>
                <w:w w:val="99"/>
                <w:sz w:val="22"/>
                <w:szCs w:val="22"/>
              </w:rPr>
              <w:t xml:space="preserve"> </w:t>
            </w:r>
            <w:r>
              <w:rPr>
                <w:rFonts w:ascii="Arial" w:hAnsi="Arial" w:cs="Arial"/>
                <w:b/>
                <w:bCs/>
                <w:sz w:val="22"/>
                <w:szCs w:val="22"/>
              </w:rPr>
              <w:t>Activity</w:t>
            </w:r>
            <w:r>
              <w:rPr>
                <w:rFonts w:ascii="Arial" w:hAnsi="Arial" w:cs="Arial"/>
                <w:b/>
                <w:bCs/>
                <w:spacing w:val="-4"/>
                <w:sz w:val="22"/>
                <w:szCs w:val="22"/>
              </w:rPr>
              <w:t xml:space="preserve"> </w:t>
            </w:r>
            <w:r>
              <w:rPr>
                <w:rFonts w:ascii="Arial" w:hAnsi="Arial" w:cs="Arial"/>
                <w:b/>
                <w:bCs/>
                <w:sz w:val="22"/>
                <w:szCs w:val="22"/>
              </w:rPr>
              <w:t>being</w:t>
            </w:r>
            <w:r>
              <w:rPr>
                <w:rFonts w:ascii="Arial" w:hAnsi="Arial" w:cs="Arial"/>
                <w:b/>
                <w:bCs/>
                <w:w w:val="99"/>
                <w:sz w:val="22"/>
                <w:szCs w:val="22"/>
              </w:rPr>
              <w:t xml:space="preserve"> </w:t>
            </w:r>
            <w:r>
              <w:rPr>
                <w:rFonts w:ascii="Arial" w:hAnsi="Arial" w:cs="Arial"/>
                <w:b/>
                <w:bCs/>
                <w:sz w:val="22"/>
                <w:szCs w:val="22"/>
              </w:rPr>
              <w:t>monitored</w:t>
            </w:r>
          </w:p>
        </w:tc>
        <w:tc>
          <w:tcPr>
            <w:tcW w:w="252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pPr>
            <w:r>
              <w:rPr>
                <w:rFonts w:ascii="Arial" w:hAnsi="Arial" w:cs="Arial"/>
                <w:b/>
                <w:bCs/>
                <w:sz w:val="22"/>
                <w:szCs w:val="22"/>
              </w:rPr>
              <w:t>Lead/role</w:t>
            </w:r>
          </w:p>
        </w:tc>
        <w:tc>
          <w:tcPr>
            <w:tcW w:w="270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508"/>
            </w:pPr>
            <w:r>
              <w:rPr>
                <w:rFonts w:ascii="Arial" w:hAnsi="Arial" w:cs="Arial"/>
                <w:b/>
                <w:bCs/>
                <w:sz w:val="22"/>
                <w:szCs w:val="22"/>
              </w:rPr>
              <w:t>Methodology to</w:t>
            </w:r>
            <w:r>
              <w:rPr>
                <w:rFonts w:ascii="Arial" w:hAnsi="Arial" w:cs="Arial"/>
                <w:b/>
                <w:bCs/>
                <w:spacing w:val="-4"/>
                <w:sz w:val="22"/>
                <w:szCs w:val="22"/>
              </w:rPr>
              <w:t xml:space="preserve"> </w:t>
            </w:r>
            <w:r>
              <w:rPr>
                <w:rFonts w:ascii="Arial" w:hAnsi="Arial" w:cs="Arial"/>
                <w:b/>
                <w:bCs/>
                <w:sz w:val="22"/>
                <w:szCs w:val="22"/>
              </w:rPr>
              <w:t>be</w:t>
            </w:r>
            <w:r>
              <w:rPr>
                <w:rFonts w:ascii="Arial" w:hAnsi="Arial" w:cs="Arial"/>
                <w:b/>
                <w:bCs/>
                <w:w w:val="99"/>
                <w:sz w:val="22"/>
                <w:szCs w:val="22"/>
              </w:rPr>
              <w:t xml:space="preserve"> </w:t>
            </w:r>
            <w:r>
              <w:rPr>
                <w:rFonts w:ascii="Arial" w:hAnsi="Arial" w:cs="Arial"/>
                <w:b/>
                <w:bCs/>
                <w:sz w:val="22"/>
                <w:szCs w:val="22"/>
              </w:rPr>
              <w:t>used for</w:t>
            </w:r>
            <w:r>
              <w:rPr>
                <w:rFonts w:ascii="Arial" w:hAnsi="Arial" w:cs="Arial"/>
                <w:b/>
                <w:bCs/>
                <w:spacing w:val="-4"/>
                <w:sz w:val="22"/>
                <w:szCs w:val="22"/>
              </w:rPr>
              <w:t xml:space="preserve"> </w:t>
            </w:r>
            <w:r>
              <w:rPr>
                <w:rFonts w:ascii="Arial" w:hAnsi="Arial" w:cs="Arial"/>
                <w:b/>
                <w:bCs/>
                <w:sz w:val="22"/>
                <w:szCs w:val="22"/>
              </w:rPr>
              <w:t>monitoring</w:t>
            </w:r>
          </w:p>
        </w:tc>
        <w:tc>
          <w:tcPr>
            <w:tcW w:w="2601"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823"/>
            </w:pPr>
            <w:r>
              <w:rPr>
                <w:rFonts w:ascii="Arial" w:hAnsi="Arial" w:cs="Arial"/>
                <w:b/>
                <w:bCs/>
                <w:sz w:val="22"/>
                <w:szCs w:val="22"/>
              </w:rPr>
              <w:t>Frequency</w:t>
            </w:r>
            <w:r>
              <w:rPr>
                <w:rFonts w:ascii="Arial" w:hAnsi="Arial" w:cs="Arial"/>
                <w:b/>
                <w:bCs/>
                <w:spacing w:val="-2"/>
                <w:sz w:val="22"/>
                <w:szCs w:val="22"/>
              </w:rPr>
              <w:t xml:space="preserve"> </w:t>
            </w:r>
            <w:r>
              <w:rPr>
                <w:rFonts w:ascii="Arial" w:hAnsi="Arial" w:cs="Arial"/>
                <w:b/>
                <w:bCs/>
                <w:sz w:val="22"/>
                <w:szCs w:val="22"/>
              </w:rPr>
              <w:t>of</w:t>
            </w:r>
            <w:r>
              <w:rPr>
                <w:rFonts w:ascii="Arial" w:hAnsi="Arial" w:cs="Arial"/>
                <w:b/>
                <w:bCs/>
                <w:w w:val="99"/>
                <w:sz w:val="22"/>
                <w:szCs w:val="22"/>
              </w:rPr>
              <w:t xml:space="preserve"> </w:t>
            </w:r>
            <w:r>
              <w:rPr>
                <w:rFonts w:ascii="Arial" w:hAnsi="Arial" w:cs="Arial"/>
                <w:b/>
                <w:bCs/>
                <w:sz w:val="22"/>
                <w:szCs w:val="22"/>
              </w:rPr>
              <w:t>monitoring</w:t>
            </w:r>
            <w:r>
              <w:rPr>
                <w:rFonts w:ascii="Arial" w:hAnsi="Arial" w:cs="Arial"/>
                <w:b/>
                <w:bCs/>
                <w:spacing w:val="58"/>
                <w:sz w:val="22"/>
                <w:szCs w:val="22"/>
              </w:rPr>
              <w:t xml:space="preserve"> </w:t>
            </w:r>
            <w:r>
              <w:rPr>
                <w:rFonts w:ascii="Arial" w:hAnsi="Arial" w:cs="Arial"/>
                <w:b/>
                <w:bCs/>
                <w:sz w:val="22"/>
                <w:szCs w:val="22"/>
              </w:rPr>
              <w:t>and</w:t>
            </w:r>
            <w:r>
              <w:rPr>
                <w:rFonts w:ascii="Arial" w:hAnsi="Arial" w:cs="Arial"/>
                <w:b/>
                <w:bCs/>
                <w:w w:val="99"/>
                <w:sz w:val="22"/>
                <w:szCs w:val="22"/>
              </w:rPr>
              <w:t xml:space="preserve"> </w:t>
            </w:r>
            <w:r>
              <w:rPr>
                <w:rFonts w:ascii="Arial" w:hAnsi="Arial" w:cs="Arial"/>
                <w:b/>
                <w:bCs/>
                <w:sz w:val="22"/>
                <w:szCs w:val="22"/>
              </w:rPr>
              <w:t>Reporting</w:t>
            </w:r>
            <w:r>
              <w:rPr>
                <w:rFonts w:ascii="Arial" w:hAnsi="Arial" w:cs="Arial"/>
                <w:b/>
                <w:bCs/>
                <w:w w:val="99"/>
                <w:sz w:val="22"/>
                <w:szCs w:val="22"/>
              </w:rPr>
              <w:t xml:space="preserve"> </w:t>
            </w:r>
            <w:r>
              <w:rPr>
                <w:rFonts w:ascii="Arial" w:hAnsi="Arial" w:cs="Arial"/>
                <w:b/>
                <w:bCs/>
                <w:sz w:val="22"/>
                <w:szCs w:val="22"/>
              </w:rPr>
              <w:t>arrangements</w:t>
            </w:r>
          </w:p>
        </w:tc>
        <w:tc>
          <w:tcPr>
            <w:tcW w:w="252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510"/>
            </w:pPr>
            <w:r>
              <w:rPr>
                <w:rFonts w:ascii="Arial" w:hAnsi="Arial" w:cs="Arial"/>
                <w:b/>
                <w:bCs/>
                <w:sz w:val="22"/>
                <w:szCs w:val="22"/>
              </w:rPr>
              <w:t>Acting</w:t>
            </w:r>
            <w:r>
              <w:rPr>
                <w:rFonts w:ascii="Arial" w:hAnsi="Arial" w:cs="Arial"/>
                <w:b/>
                <w:bCs/>
                <w:spacing w:val="-1"/>
                <w:sz w:val="22"/>
                <w:szCs w:val="22"/>
              </w:rPr>
              <w:t xml:space="preserve"> </w:t>
            </w:r>
            <w:r>
              <w:rPr>
                <w:rFonts w:ascii="Arial" w:hAnsi="Arial" w:cs="Arial"/>
                <w:b/>
                <w:bCs/>
                <w:sz w:val="22"/>
                <w:szCs w:val="22"/>
              </w:rPr>
              <w:t>on</w:t>
            </w:r>
            <w:r>
              <w:rPr>
                <w:rFonts w:ascii="Arial" w:hAnsi="Arial" w:cs="Arial"/>
                <w:b/>
                <w:bCs/>
                <w:w w:val="99"/>
                <w:sz w:val="22"/>
                <w:szCs w:val="22"/>
              </w:rPr>
              <w:t xml:space="preserve"> </w:t>
            </w:r>
            <w:r>
              <w:rPr>
                <w:rFonts w:ascii="Arial" w:hAnsi="Arial" w:cs="Arial"/>
                <w:b/>
                <w:bCs/>
                <w:sz w:val="22"/>
                <w:szCs w:val="22"/>
              </w:rPr>
              <w:t>recommendations</w:t>
            </w:r>
            <w:r>
              <w:rPr>
                <w:rFonts w:ascii="Arial" w:hAnsi="Arial" w:cs="Arial"/>
                <w:b/>
                <w:bCs/>
                <w:w w:val="99"/>
                <w:sz w:val="22"/>
                <w:szCs w:val="22"/>
              </w:rPr>
              <w:t xml:space="preserve"> </w:t>
            </w:r>
            <w:r>
              <w:rPr>
                <w:rFonts w:ascii="Arial" w:hAnsi="Arial" w:cs="Arial"/>
                <w:b/>
                <w:bCs/>
                <w:sz w:val="22"/>
                <w:szCs w:val="22"/>
              </w:rPr>
              <w:t>and</w:t>
            </w:r>
            <w:r>
              <w:rPr>
                <w:rFonts w:ascii="Arial" w:hAnsi="Arial" w:cs="Arial"/>
                <w:b/>
                <w:bCs/>
                <w:spacing w:val="-2"/>
                <w:sz w:val="22"/>
                <w:szCs w:val="22"/>
              </w:rPr>
              <w:t xml:space="preserve"> </w:t>
            </w:r>
            <w:r>
              <w:rPr>
                <w:rFonts w:ascii="Arial" w:hAnsi="Arial" w:cs="Arial"/>
                <w:b/>
                <w:bCs/>
                <w:sz w:val="22"/>
                <w:szCs w:val="22"/>
              </w:rPr>
              <w:t>Leads</w:t>
            </w:r>
          </w:p>
        </w:tc>
        <w:tc>
          <w:tcPr>
            <w:tcW w:w="2520" w:type="dxa"/>
            <w:tcBorders>
              <w:top w:val="single" w:sz="4" w:space="0" w:color="000000"/>
              <w:left w:val="single" w:sz="4" w:space="0" w:color="000000"/>
              <w:bottom w:val="single" w:sz="4" w:space="0" w:color="000000"/>
              <w:right w:val="single" w:sz="4" w:space="0" w:color="000000"/>
            </w:tcBorders>
            <w:shd w:val="clear" w:color="auto" w:fill="C0C0C0"/>
          </w:tcPr>
          <w:p w:rsidR="00FC5932" w:rsidRDefault="00FC5932" w:rsidP="0098329C">
            <w:pPr>
              <w:pStyle w:val="TableParagraph"/>
              <w:kinsoku w:val="0"/>
              <w:overflowPunct w:val="0"/>
              <w:ind w:left="103" w:right="436"/>
            </w:pPr>
            <w:r>
              <w:rPr>
                <w:rFonts w:ascii="Arial" w:hAnsi="Arial" w:cs="Arial"/>
                <w:b/>
                <w:bCs/>
                <w:sz w:val="22"/>
                <w:szCs w:val="22"/>
              </w:rPr>
              <w:t>Change in</w:t>
            </w:r>
            <w:r>
              <w:rPr>
                <w:rFonts w:ascii="Arial" w:hAnsi="Arial" w:cs="Arial"/>
                <w:b/>
                <w:bCs/>
                <w:spacing w:val="-3"/>
                <w:sz w:val="22"/>
                <w:szCs w:val="22"/>
              </w:rPr>
              <w:t xml:space="preserve"> </w:t>
            </w:r>
            <w:r>
              <w:rPr>
                <w:rFonts w:ascii="Arial" w:hAnsi="Arial" w:cs="Arial"/>
                <w:b/>
                <w:bCs/>
                <w:sz w:val="22"/>
                <w:szCs w:val="22"/>
              </w:rPr>
              <w:t>practice</w:t>
            </w:r>
            <w:r>
              <w:rPr>
                <w:rFonts w:ascii="Arial" w:hAnsi="Arial" w:cs="Arial"/>
                <w:b/>
                <w:bCs/>
                <w:w w:val="99"/>
                <w:sz w:val="22"/>
                <w:szCs w:val="22"/>
              </w:rPr>
              <w:t xml:space="preserve"> </w:t>
            </w:r>
            <w:r>
              <w:rPr>
                <w:rFonts w:ascii="Arial" w:hAnsi="Arial" w:cs="Arial"/>
                <w:b/>
                <w:bCs/>
                <w:sz w:val="22"/>
                <w:szCs w:val="22"/>
              </w:rPr>
              <w:t>and lessons to</w:t>
            </w:r>
            <w:r>
              <w:rPr>
                <w:rFonts w:ascii="Arial" w:hAnsi="Arial" w:cs="Arial"/>
                <w:b/>
                <w:bCs/>
                <w:spacing w:val="-2"/>
                <w:sz w:val="22"/>
                <w:szCs w:val="22"/>
              </w:rPr>
              <w:t xml:space="preserve"> </w:t>
            </w:r>
            <w:r>
              <w:rPr>
                <w:rFonts w:ascii="Arial" w:hAnsi="Arial" w:cs="Arial"/>
                <w:b/>
                <w:bCs/>
                <w:sz w:val="22"/>
                <w:szCs w:val="22"/>
              </w:rPr>
              <w:t>be</w:t>
            </w:r>
            <w:r>
              <w:rPr>
                <w:rFonts w:ascii="Arial" w:hAnsi="Arial" w:cs="Arial"/>
                <w:b/>
                <w:bCs/>
                <w:w w:val="99"/>
                <w:sz w:val="22"/>
                <w:szCs w:val="22"/>
              </w:rPr>
              <w:t xml:space="preserve"> </w:t>
            </w:r>
            <w:r>
              <w:rPr>
                <w:rFonts w:ascii="Arial" w:hAnsi="Arial" w:cs="Arial"/>
                <w:b/>
                <w:bCs/>
                <w:sz w:val="22"/>
                <w:szCs w:val="22"/>
              </w:rPr>
              <w:t>shared</w:t>
            </w:r>
          </w:p>
        </w:tc>
      </w:tr>
      <w:tr w:rsidR="002B791A" w:rsidTr="002B791A">
        <w:trPr>
          <w:trHeight w:hRule="exact" w:val="4142"/>
        </w:trPr>
        <w:tc>
          <w:tcPr>
            <w:tcW w:w="1908"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spacing w:line="206" w:lineRule="exact"/>
              <w:ind w:left="103"/>
              <w:rPr>
                <w:rFonts w:ascii="Arial" w:hAnsi="Arial" w:cs="Arial"/>
                <w:i/>
                <w:iCs/>
                <w:sz w:val="18"/>
                <w:szCs w:val="18"/>
              </w:rPr>
            </w:pPr>
            <w:r w:rsidRPr="002B791A">
              <w:rPr>
                <w:rFonts w:ascii="Arial" w:hAnsi="Arial" w:cs="Arial"/>
                <w:i/>
                <w:iCs/>
                <w:sz w:val="18"/>
                <w:szCs w:val="18"/>
              </w:rPr>
              <w:t>WMQRS peer review quality standards</w:t>
            </w:r>
          </w:p>
        </w:tc>
        <w:tc>
          <w:tcPr>
            <w:tcW w:w="252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185"/>
              <w:rPr>
                <w:rFonts w:ascii="Arial" w:hAnsi="Arial" w:cs="Arial"/>
                <w:i/>
                <w:iCs/>
                <w:sz w:val="18"/>
                <w:szCs w:val="18"/>
              </w:rPr>
            </w:pPr>
            <w:r w:rsidRPr="002B791A">
              <w:rPr>
                <w:rFonts w:ascii="Arial" w:hAnsi="Arial" w:cs="Arial"/>
                <w:i/>
                <w:iCs/>
                <w:sz w:val="18"/>
                <w:szCs w:val="18"/>
              </w:rPr>
              <w:t>Consultant haematologist</w:t>
            </w:r>
          </w:p>
        </w:tc>
        <w:tc>
          <w:tcPr>
            <w:tcW w:w="270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197"/>
              <w:rPr>
                <w:rFonts w:ascii="Arial" w:hAnsi="Arial" w:cs="Arial"/>
                <w:i/>
                <w:iCs/>
                <w:sz w:val="18"/>
                <w:szCs w:val="18"/>
              </w:rPr>
            </w:pPr>
            <w:r w:rsidRPr="002B791A">
              <w:rPr>
                <w:rFonts w:ascii="Arial" w:hAnsi="Arial" w:cs="Arial"/>
                <w:i/>
                <w:iCs/>
                <w:sz w:val="18"/>
                <w:szCs w:val="18"/>
              </w:rPr>
              <w:t>As required (every 2-3 year)</w:t>
            </w:r>
          </w:p>
        </w:tc>
        <w:tc>
          <w:tcPr>
            <w:tcW w:w="2601"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264"/>
              <w:rPr>
                <w:rFonts w:ascii="Arial" w:hAnsi="Arial" w:cs="Arial"/>
                <w:i/>
                <w:iCs/>
                <w:sz w:val="18"/>
                <w:szCs w:val="18"/>
              </w:rPr>
            </w:pPr>
            <w:r>
              <w:rPr>
                <w:rFonts w:ascii="Arial" w:hAnsi="Arial" w:cs="Arial"/>
                <w:i/>
                <w:iCs/>
                <w:sz w:val="18"/>
                <w:szCs w:val="18"/>
              </w:rPr>
              <w:t>The lead or committee</w:t>
            </w:r>
            <w:r w:rsidRPr="002B791A">
              <w:rPr>
                <w:rFonts w:ascii="Arial" w:hAnsi="Arial" w:cs="Arial"/>
                <w:i/>
                <w:iCs/>
                <w:sz w:val="18"/>
                <w:szCs w:val="18"/>
              </w:rPr>
              <w:t xml:space="preserve"> </w:t>
            </w:r>
            <w:r>
              <w:rPr>
                <w:rFonts w:ascii="Arial" w:hAnsi="Arial" w:cs="Arial"/>
                <w:i/>
                <w:iCs/>
                <w:sz w:val="18"/>
                <w:szCs w:val="18"/>
              </w:rPr>
              <w:t>is</w:t>
            </w:r>
            <w:r w:rsidRPr="002B791A">
              <w:rPr>
                <w:rFonts w:ascii="Arial" w:hAnsi="Arial" w:cs="Arial"/>
                <w:i/>
                <w:iCs/>
                <w:sz w:val="18"/>
                <w:szCs w:val="18"/>
              </w:rPr>
              <w:t xml:space="preserve"> </w:t>
            </w:r>
            <w:r>
              <w:rPr>
                <w:rFonts w:ascii="Arial" w:hAnsi="Arial" w:cs="Arial"/>
                <w:i/>
                <w:iCs/>
                <w:sz w:val="18"/>
                <w:szCs w:val="18"/>
              </w:rPr>
              <w:t>expected to read</w:t>
            </w:r>
            <w:r w:rsidRPr="002B791A">
              <w:rPr>
                <w:rFonts w:ascii="Arial" w:hAnsi="Arial" w:cs="Arial"/>
                <w:i/>
                <w:iCs/>
                <w:sz w:val="18"/>
                <w:szCs w:val="18"/>
              </w:rPr>
              <w:t xml:space="preserve"> </w:t>
            </w:r>
            <w:r>
              <w:rPr>
                <w:rFonts w:ascii="Arial" w:hAnsi="Arial" w:cs="Arial"/>
                <w:i/>
                <w:iCs/>
                <w:sz w:val="18"/>
                <w:szCs w:val="18"/>
              </w:rPr>
              <w:t>and</w:t>
            </w:r>
          </w:p>
          <w:p w:rsidR="002B791A" w:rsidRPr="002B791A" w:rsidRDefault="002B791A" w:rsidP="002B791A">
            <w:pPr>
              <w:pStyle w:val="TableParagraph"/>
              <w:kinsoku w:val="0"/>
              <w:overflowPunct w:val="0"/>
              <w:ind w:left="103" w:right="264"/>
              <w:rPr>
                <w:rFonts w:ascii="Arial" w:hAnsi="Arial" w:cs="Arial"/>
                <w:i/>
                <w:iCs/>
                <w:sz w:val="18"/>
                <w:szCs w:val="18"/>
              </w:rPr>
            </w:pPr>
            <w:r>
              <w:rPr>
                <w:rFonts w:ascii="Arial" w:hAnsi="Arial" w:cs="Arial"/>
                <w:i/>
                <w:iCs/>
                <w:sz w:val="18"/>
                <w:szCs w:val="18"/>
              </w:rPr>
              <w:t>interrogate the report</w:t>
            </w:r>
            <w:r w:rsidRPr="002B791A">
              <w:rPr>
                <w:rFonts w:ascii="Arial" w:hAnsi="Arial" w:cs="Arial"/>
                <w:i/>
                <w:iCs/>
                <w:sz w:val="18"/>
                <w:szCs w:val="18"/>
              </w:rPr>
              <w:t xml:space="preserve"> </w:t>
            </w:r>
            <w:r>
              <w:rPr>
                <w:rFonts w:ascii="Arial" w:hAnsi="Arial" w:cs="Arial"/>
                <w:i/>
                <w:iCs/>
                <w:sz w:val="18"/>
                <w:szCs w:val="18"/>
              </w:rPr>
              <w:t>to</w:t>
            </w:r>
          </w:p>
          <w:p w:rsidR="002B791A" w:rsidRPr="002B791A" w:rsidRDefault="002B791A" w:rsidP="002B791A">
            <w:pPr>
              <w:pStyle w:val="TableParagraph"/>
              <w:kinsoku w:val="0"/>
              <w:overflowPunct w:val="0"/>
              <w:ind w:left="103" w:right="264"/>
              <w:rPr>
                <w:rFonts w:ascii="Arial" w:hAnsi="Arial" w:cs="Arial"/>
                <w:i/>
                <w:iCs/>
                <w:sz w:val="18"/>
                <w:szCs w:val="18"/>
              </w:rPr>
            </w:pPr>
            <w:proofErr w:type="gramStart"/>
            <w:r>
              <w:rPr>
                <w:rFonts w:ascii="Arial" w:hAnsi="Arial" w:cs="Arial"/>
                <w:i/>
                <w:iCs/>
                <w:sz w:val="18"/>
                <w:szCs w:val="18"/>
              </w:rPr>
              <w:t>identify</w:t>
            </w:r>
            <w:proofErr w:type="gramEnd"/>
            <w:r>
              <w:rPr>
                <w:rFonts w:ascii="Arial" w:hAnsi="Arial" w:cs="Arial"/>
                <w:i/>
                <w:iCs/>
                <w:sz w:val="18"/>
                <w:szCs w:val="18"/>
              </w:rPr>
              <w:t xml:space="preserve"> deficiencies in</w:t>
            </w:r>
            <w:r w:rsidRPr="002B791A">
              <w:rPr>
                <w:rFonts w:ascii="Arial" w:hAnsi="Arial" w:cs="Arial"/>
                <w:i/>
                <w:iCs/>
                <w:sz w:val="18"/>
                <w:szCs w:val="18"/>
              </w:rPr>
              <w:t xml:space="preserve"> </w:t>
            </w:r>
            <w:r>
              <w:rPr>
                <w:rFonts w:ascii="Arial" w:hAnsi="Arial" w:cs="Arial"/>
                <w:i/>
                <w:iCs/>
                <w:sz w:val="18"/>
                <w:szCs w:val="18"/>
              </w:rPr>
              <w:t>the</w:t>
            </w:r>
            <w:r w:rsidRPr="002B791A">
              <w:rPr>
                <w:rFonts w:ascii="Arial" w:hAnsi="Arial" w:cs="Arial"/>
                <w:i/>
                <w:iCs/>
                <w:sz w:val="18"/>
                <w:szCs w:val="18"/>
              </w:rPr>
              <w:t xml:space="preserve"> </w:t>
            </w:r>
            <w:r>
              <w:rPr>
                <w:rFonts w:ascii="Arial" w:hAnsi="Arial" w:cs="Arial"/>
                <w:i/>
                <w:iCs/>
                <w:sz w:val="18"/>
                <w:szCs w:val="18"/>
              </w:rPr>
              <w:t>system and act upon</w:t>
            </w:r>
            <w:r w:rsidRPr="002B791A">
              <w:rPr>
                <w:rFonts w:ascii="Arial" w:hAnsi="Arial" w:cs="Arial"/>
                <w:i/>
                <w:iCs/>
                <w:sz w:val="18"/>
                <w:szCs w:val="18"/>
              </w:rPr>
              <w:t xml:space="preserve"> </w:t>
            </w:r>
            <w:r>
              <w:rPr>
                <w:rFonts w:ascii="Arial" w:hAnsi="Arial" w:cs="Arial"/>
                <w:i/>
                <w:iCs/>
                <w:sz w:val="18"/>
                <w:szCs w:val="18"/>
              </w:rPr>
              <w:t>them.</w:t>
            </w:r>
            <w:r w:rsidRPr="002B791A">
              <w:rPr>
                <w:rFonts w:ascii="Arial" w:hAnsi="Arial" w:cs="Arial"/>
                <w:i/>
                <w:iCs/>
                <w:sz w:val="18"/>
                <w:szCs w:val="18"/>
              </w:rPr>
              <w:t xml:space="preserve"> </w:t>
            </w:r>
            <w:r>
              <w:rPr>
                <w:rFonts w:ascii="Arial" w:hAnsi="Arial" w:cs="Arial"/>
                <w:i/>
                <w:iCs/>
                <w:sz w:val="18"/>
                <w:szCs w:val="18"/>
              </w:rPr>
              <w:t>Consider stating</w:t>
            </w:r>
            <w:r w:rsidRPr="002B791A">
              <w:rPr>
                <w:rFonts w:ascii="Arial" w:hAnsi="Arial" w:cs="Arial"/>
                <w:i/>
                <w:iCs/>
                <w:sz w:val="18"/>
                <w:szCs w:val="18"/>
              </w:rPr>
              <w:t xml:space="preserve"> </w:t>
            </w:r>
            <w:r>
              <w:rPr>
                <w:rFonts w:ascii="Arial" w:hAnsi="Arial" w:cs="Arial"/>
                <w:i/>
                <w:iCs/>
                <w:sz w:val="18"/>
                <w:szCs w:val="18"/>
              </w:rPr>
              <w:t>this</w:t>
            </w:r>
            <w:r w:rsidRPr="002B791A">
              <w:rPr>
                <w:rFonts w:ascii="Arial" w:hAnsi="Arial" w:cs="Arial"/>
                <w:i/>
                <w:iCs/>
                <w:sz w:val="18"/>
                <w:szCs w:val="18"/>
              </w:rPr>
              <w:t xml:space="preserve"> </w:t>
            </w:r>
            <w:r>
              <w:rPr>
                <w:rFonts w:ascii="Arial" w:hAnsi="Arial" w:cs="Arial"/>
                <w:i/>
                <w:iCs/>
                <w:sz w:val="18"/>
                <w:szCs w:val="18"/>
              </w:rPr>
              <w:t>responsibility in</w:t>
            </w:r>
            <w:r w:rsidRPr="002B791A">
              <w:rPr>
                <w:rFonts w:ascii="Arial" w:hAnsi="Arial" w:cs="Arial"/>
                <w:i/>
                <w:iCs/>
                <w:sz w:val="18"/>
                <w:szCs w:val="18"/>
              </w:rPr>
              <w:t xml:space="preserve"> </w:t>
            </w:r>
            <w:r>
              <w:rPr>
                <w:rFonts w:ascii="Arial" w:hAnsi="Arial" w:cs="Arial"/>
                <w:i/>
                <w:iCs/>
                <w:sz w:val="18"/>
                <w:szCs w:val="18"/>
              </w:rPr>
              <w:t>committee</w:t>
            </w:r>
            <w:r w:rsidRPr="002B791A">
              <w:rPr>
                <w:rFonts w:ascii="Arial" w:hAnsi="Arial" w:cs="Arial"/>
                <w:i/>
                <w:iCs/>
                <w:sz w:val="18"/>
                <w:szCs w:val="18"/>
              </w:rPr>
              <w:t xml:space="preserve"> </w:t>
            </w:r>
            <w:r>
              <w:rPr>
                <w:rFonts w:ascii="Arial" w:hAnsi="Arial" w:cs="Arial"/>
                <w:i/>
                <w:iCs/>
                <w:sz w:val="18"/>
                <w:szCs w:val="18"/>
              </w:rPr>
              <w:t>terms of</w:t>
            </w:r>
            <w:r w:rsidRPr="002B791A">
              <w:rPr>
                <w:rFonts w:ascii="Arial" w:hAnsi="Arial" w:cs="Arial"/>
                <w:i/>
                <w:iCs/>
                <w:sz w:val="18"/>
                <w:szCs w:val="18"/>
              </w:rPr>
              <w:t xml:space="preserve"> </w:t>
            </w:r>
            <w:r>
              <w:rPr>
                <w:rFonts w:ascii="Arial" w:hAnsi="Arial" w:cs="Arial"/>
                <w:i/>
                <w:iCs/>
                <w:sz w:val="18"/>
                <w:szCs w:val="18"/>
              </w:rPr>
              <w:t>reference.</w:t>
            </w:r>
          </w:p>
        </w:tc>
        <w:tc>
          <w:tcPr>
            <w:tcW w:w="252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346"/>
              <w:rPr>
                <w:rFonts w:ascii="Arial" w:hAnsi="Arial" w:cs="Arial"/>
                <w:i/>
                <w:iCs/>
                <w:sz w:val="18"/>
                <w:szCs w:val="18"/>
              </w:rPr>
            </w:pPr>
            <w:r>
              <w:rPr>
                <w:rFonts w:ascii="Arial" w:hAnsi="Arial" w:cs="Arial"/>
                <w:i/>
                <w:iCs/>
                <w:sz w:val="18"/>
                <w:szCs w:val="18"/>
              </w:rPr>
              <w:t>Required actions will</w:t>
            </w:r>
            <w:r w:rsidRPr="002B791A">
              <w:rPr>
                <w:rFonts w:ascii="Arial" w:hAnsi="Arial" w:cs="Arial"/>
                <w:i/>
                <w:iCs/>
                <w:sz w:val="18"/>
                <w:szCs w:val="18"/>
              </w:rPr>
              <w:t xml:space="preserve"> </w:t>
            </w:r>
            <w:r>
              <w:rPr>
                <w:rFonts w:ascii="Arial" w:hAnsi="Arial" w:cs="Arial"/>
                <w:i/>
                <w:iCs/>
                <w:sz w:val="18"/>
                <w:szCs w:val="18"/>
              </w:rPr>
              <w:t>be</w:t>
            </w:r>
            <w:r w:rsidRPr="002B791A">
              <w:rPr>
                <w:rFonts w:ascii="Arial" w:hAnsi="Arial" w:cs="Arial"/>
                <w:i/>
                <w:iCs/>
                <w:sz w:val="18"/>
                <w:szCs w:val="18"/>
              </w:rPr>
              <w:t xml:space="preserve"> </w:t>
            </w:r>
            <w:r>
              <w:rPr>
                <w:rFonts w:ascii="Arial" w:hAnsi="Arial" w:cs="Arial"/>
                <w:i/>
                <w:iCs/>
                <w:sz w:val="18"/>
                <w:szCs w:val="18"/>
              </w:rPr>
              <w:t>identified and completed in</w:t>
            </w:r>
            <w:r w:rsidRPr="002B791A">
              <w:rPr>
                <w:rFonts w:ascii="Arial" w:hAnsi="Arial" w:cs="Arial"/>
                <w:i/>
                <w:iCs/>
                <w:sz w:val="18"/>
                <w:szCs w:val="18"/>
              </w:rPr>
              <w:t xml:space="preserve"> </w:t>
            </w:r>
            <w:r>
              <w:rPr>
                <w:rFonts w:ascii="Arial" w:hAnsi="Arial" w:cs="Arial"/>
                <w:i/>
                <w:iCs/>
                <w:sz w:val="18"/>
                <w:szCs w:val="18"/>
              </w:rPr>
              <w:t>a specified</w:t>
            </w:r>
            <w:r w:rsidRPr="002B791A">
              <w:rPr>
                <w:rFonts w:ascii="Arial" w:hAnsi="Arial" w:cs="Arial"/>
                <w:i/>
                <w:iCs/>
                <w:sz w:val="18"/>
                <w:szCs w:val="18"/>
              </w:rPr>
              <w:t xml:space="preserve"> </w:t>
            </w:r>
            <w:r>
              <w:rPr>
                <w:rFonts w:ascii="Arial" w:hAnsi="Arial" w:cs="Arial"/>
                <w:i/>
                <w:iCs/>
                <w:sz w:val="18"/>
                <w:szCs w:val="18"/>
              </w:rPr>
              <w:t>timeframe.</w:t>
            </w:r>
          </w:p>
          <w:p w:rsidR="002B791A" w:rsidRDefault="002B791A" w:rsidP="002B791A">
            <w:pPr>
              <w:pStyle w:val="TableParagraph"/>
              <w:kinsoku w:val="0"/>
              <w:overflowPunct w:val="0"/>
              <w:ind w:left="103" w:right="346"/>
              <w:rPr>
                <w:rFonts w:ascii="Arial" w:hAnsi="Arial" w:cs="Arial"/>
                <w:i/>
                <w:iCs/>
                <w:sz w:val="18"/>
                <w:szCs w:val="18"/>
              </w:rPr>
            </w:pPr>
            <w:r>
              <w:rPr>
                <w:rFonts w:ascii="Arial" w:hAnsi="Arial" w:cs="Arial"/>
                <w:i/>
                <w:iCs/>
                <w:sz w:val="18"/>
                <w:szCs w:val="18"/>
              </w:rPr>
              <w:t>Consider stating</w:t>
            </w:r>
            <w:r w:rsidRPr="002B791A">
              <w:rPr>
                <w:rFonts w:ascii="Arial" w:hAnsi="Arial" w:cs="Arial"/>
                <w:i/>
                <w:iCs/>
                <w:sz w:val="18"/>
                <w:szCs w:val="18"/>
              </w:rPr>
              <w:t xml:space="preserve"> </w:t>
            </w:r>
            <w:r>
              <w:rPr>
                <w:rFonts w:ascii="Arial" w:hAnsi="Arial" w:cs="Arial"/>
                <w:i/>
                <w:iCs/>
                <w:sz w:val="18"/>
                <w:szCs w:val="18"/>
              </w:rPr>
              <w:t>this</w:t>
            </w:r>
            <w:r w:rsidRPr="002B791A">
              <w:rPr>
                <w:rFonts w:ascii="Arial" w:hAnsi="Arial" w:cs="Arial"/>
                <w:i/>
                <w:iCs/>
                <w:sz w:val="18"/>
                <w:szCs w:val="18"/>
              </w:rPr>
              <w:t xml:space="preserve"> </w:t>
            </w:r>
            <w:r>
              <w:rPr>
                <w:rFonts w:ascii="Arial" w:hAnsi="Arial" w:cs="Arial"/>
                <w:i/>
                <w:iCs/>
                <w:sz w:val="18"/>
                <w:szCs w:val="18"/>
              </w:rPr>
              <w:t>responsibility in</w:t>
            </w:r>
            <w:r w:rsidRPr="002B791A">
              <w:rPr>
                <w:rFonts w:ascii="Arial" w:hAnsi="Arial" w:cs="Arial"/>
                <w:i/>
                <w:iCs/>
                <w:sz w:val="18"/>
                <w:szCs w:val="18"/>
              </w:rPr>
              <w:t xml:space="preserve"> </w:t>
            </w:r>
            <w:r>
              <w:rPr>
                <w:rFonts w:ascii="Arial" w:hAnsi="Arial" w:cs="Arial"/>
                <w:i/>
                <w:iCs/>
                <w:sz w:val="18"/>
                <w:szCs w:val="18"/>
              </w:rPr>
              <w:t>committee</w:t>
            </w:r>
            <w:r w:rsidRPr="002B791A">
              <w:rPr>
                <w:rFonts w:ascii="Arial" w:hAnsi="Arial" w:cs="Arial"/>
                <w:i/>
                <w:iCs/>
                <w:sz w:val="18"/>
                <w:szCs w:val="18"/>
              </w:rPr>
              <w:t xml:space="preserve"> </w:t>
            </w:r>
            <w:r>
              <w:rPr>
                <w:rFonts w:ascii="Arial" w:hAnsi="Arial" w:cs="Arial"/>
                <w:i/>
                <w:iCs/>
                <w:sz w:val="18"/>
                <w:szCs w:val="18"/>
              </w:rPr>
              <w:t>terms of</w:t>
            </w:r>
            <w:r w:rsidRPr="002B791A">
              <w:rPr>
                <w:rFonts w:ascii="Arial" w:hAnsi="Arial" w:cs="Arial"/>
                <w:i/>
                <w:iCs/>
                <w:sz w:val="18"/>
                <w:szCs w:val="18"/>
              </w:rPr>
              <w:t xml:space="preserve"> </w:t>
            </w:r>
            <w:r>
              <w:rPr>
                <w:rFonts w:ascii="Arial" w:hAnsi="Arial" w:cs="Arial"/>
                <w:i/>
                <w:iCs/>
                <w:sz w:val="18"/>
                <w:szCs w:val="18"/>
              </w:rPr>
              <w:t>reference.</w:t>
            </w:r>
          </w:p>
          <w:p w:rsidR="002B791A" w:rsidRDefault="002B791A" w:rsidP="002B791A">
            <w:pPr>
              <w:pStyle w:val="TableParagraph"/>
              <w:kinsoku w:val="0"/>
              <w:overflowPunct w:val="0"/>
              <w:ind w:left="103" w:right="346"/>
              <w:rPr>
                <w:rFonts w:ascii="Arial" w:hAnsi="Arial" w:cs="Arial"/>
                <w:i/>
                <w:iCs/>
                <w:sz w:val="18"/>
                <w:szCs w:val="18"/>
              </w:rPr>
            </w:pPr>
          </w:p>
          <w:p w:rsidR="002B791A" w:rsidRPr="002B791A" w:rsidRDefault="002B791A" w:rsidP="002B791A">
            <w:pPr>
              <w:pStyle w:val="TableParagraph"/>
              <w:kinsoku w:val="0"/>
              <w:overflowPunct w:val="0"/>
              <w:ind w:left="103" w:right="346"/>
              <w:rPr>
                <w:rFonts w:ascii="Arial" w:hAnsi="Arial" w:cs="Arial"/>
                <w:i/>
                <w:iCs/>
                <w:sz w:val="18"/>
                <w:szCs w:val="18"/>
              </w:rPr>
            </w:pPr>
            <w:r>
              <w:rPr>
                <w:rFonts w:ascii="Arial" w:hAnsi="Arial" w:cs="Arial"/>
                <w:i/>
                <w:iCs/>
                <w:sz w:val="18"/>
                <w:szCs w:val="18"/>
              </w:rPr>
              <w:t>These will be discussed at Divisional governance board</w:t>
            </w:r>
          </w:p>
        </w:tc>
        <w:tc>
          <w:tcPr>
            <w:tcW w:w="2520" w:type="dxa"/>
            <w:tcBorders>
              <w:top w:val="single" w:sz="4" w:space="0" w:color="000000"/>
              <w:left w:val="single" w:sz="4" w:space="0" w:color="000000"/>
              <w:bottom w:val="single" w:sz="4" w:space="0" w:color="000000"/>
              <w:right w:val="single" w:sz="4" w:space="0" w:color="000000"/>
            </w:tcBorders>
          </w:tcPr>
          <w:p w:rsidR="002B791A" w:rsidRPr="002B791A" w:rsidRDefault="002B791A" w:rsidP="002B791A">
            <w:pPr>
              <w:pStyle w:val="TableParagraph"/>
              <w:kinsoku w:val="0"/>
              <w:overflowPunct w:val="0"/>
              <w:ind w:left="103" w:right="234"/>
              <w:rPr>
                <w:rFonts w:ascii="Arial" w:hAnsi="Arial" w:cs="Arial"/>
                <w:i/>
                <w:iCs/>
                <w:sz w:val="18"/>
                <w:szCs w:val="18"/>
              </w:rPr>
            </w:pPr>
            <w:r>
              <w:rPr>
                <w:rFonts w:ascii="Arial" w:hAnsi="Arial" w:cs="Arial"/>
                <w:i/>
                <w:iCs/>
                <w:sz w:val="18"/>
                <w:szCs w:val="18"/>
              </w:rPr>
              <w:t>Required changes</w:t>
            </w:r>
            <w:r w:rsidRPr="002B791A">
              <w:rPr>
                <w:rFonts w:ascii="Arial" w:hAnsi="Arial" w:cs="Arial"/>
                <w:i/>
                <w:iCs/>
                <w:sz w:val="18"/>
                <w:szCs w:val="18"/>
              </w:rPr>
              <w:t xml:space="preserve"> </w:t>
            </w:r>
            <w:r>
              <w:rPr>
                <w:rFonts w:ascii="Arial" w:hAnsi="Arial" w:cs="Arial"/>
                <w:i/>
                <w:iCs/>
                <w:sz w:val="18"/>
                <w:szCs w:val="18"/>
              </w:rPr>
              <w:t>to practice will be identified</w:t>
            </w:r>
            <w:r w:rsidRPr="002B791A">
              <w:rPr>
                <w:rFonts w:ascii="Arial" w:hAnsi="Arial" w:cs="Arial"/>
                <w:i/>
                <w:iCs/>
                <w:sz w:val="18"/>
                <w:szCs w:val="18"/>
              </w:rPr>
              <w:t xml:space="preserve"> </w:t>
            </w:r>
            <w:r>
              <w:rPr>
                <w:rFonts w:ascii="Arial" w:hAnsi="Arial" w:cs="Arial"/>
                <w:i/>
                <w:iCs/>
                <w:sz w:val="18"/>
                <w:szCs w:val="18"/>
              </w:rPr>
              <w:t>and</w:t>
            </w:r>
            <w:r w:rsidRPr="002B791A">
              <w:rPr>
                <w:rFonts w:ascii="Arial" w:hAnsi="Arial" w:cs="Arial"/>
                <w:i/>
                <w:iCs/>
                <w:sz w:val="18"/>
                <w:szCs w:val="18"/>
              </w:rPr>
              <w:t xml:space="preserve"> </w:t>
            </w:r>
            <w:proofErr w:type="spellStart"/>
            <w:r>
              <w:rPr>
                <w:rFonts w:ascii="Arial" w:hAnsi="Arial" w:cs="Arial"/>
                <w:i/>
                <w:iCs/>
                <w:sz w:val="18"/>
                <w:szCs w:val="18"/>
              </w:rPr>
              <w:t>actioned</w:t>
            </w:r>
            <w:proofErr w:type="spellEnd"/>
            <w:r>
              <w:rPr>
                <w:rFonts w:ascii="Arial" w:hAnsi="Arial" w:cs="Arial"/>
                <w:i/>
                <w:iCs/>
                <w:sz w:val="18"/>
                <w:szCs w:val="18"/>
              </w:rPr>
              <w:t xml:space="preserve"> within a</w:t>
            </w:r>
            <w:r w:rsidRPr="002B791A">
              <w:rPr>
                <w:rFonts w:ascii="Arial" w:hAnsi="Arial" w:cs="Arial"/>
                <w:i/>
                <w:iCs/>
                <w:sz w:val="18"/>
                <w:szCs w:val="18"/>
              </w:rPr>
              <w:t xml:space="preserve"> </w:t>
            </w:r>
            <w:r>
              <w:rPr>
                <w:rFonts w:ascii="Arial" w:hAnsi="Arial" w:cs="Arial"/>
                <w:i/>
                <w:iCs/>
                <w:sz w:val="18"/>
                <w:szCs w:val="18"/>
              </w:rPr>
              <w:t>specific</w:t>
            </w:r>
            <w:r w:rsidRPr="002B791A">
              <w:rPr>
                <w:rFonts w:ascii="Arial" w:hAnsi="Arial" w:cs="Arial"/>
                <w:i/>
                <w:iCs/>
                <w:sz w:val="18"/>
                <w:szCs w:val="18"/>
              </w:rPr>
              <w:t xml:space="preserve"> </w:t>
            </w:r>
            <w:r>
              <w:rPr>
                <w:rFonts w:ascii="Arial" w:hAnsi="Arial" w:cs="Arial"/>
                <w:i/>
                <w:iCs/>
                <w:sz w:val="18"/>
                <w:szCs w:val="18"/>
              </w:rPr>
              <w:t>timeframe. A lead member</w:t>
            </w:r>
            <w:r w:rsidRPr="002B791A">
              <w:rPr>
                <w:rFonts w:ascii="Arial" w:hAnsi="Arial" w:cs="Arial"/>
                <w:i/>
                <w:iCs/>
                <w:sz w:val="18"/>
                <w:szCs w:val="18"/>
              </w:rPr>
              <w:t xml:space="preserve"> </w:t>
            </w:r>
            <w:r>
              <w:rPr>
                <w:rFonts w:ascii="Arial" w:hAnsi="Arial" w:cs="Arial"/>
                <w:i/>
                <w:iCs/>
                <w:sz w:val="18"/>
                <w:szCs w:val="18"/>
              </w:rPr>
              <w:t>of the team will be identified</w:t>
            </w:r>
            <w:r w:rsidRPr="002B791A">
              <w:rPr>
                <w:rFonts w:ascii="Arial" w:hAnsi="Arial" w:cs="Arial"/>
                <w:i/>
                <w:iCs/>
                <w:sz w:val="18"/>
                <w:szCs w:val="18"/>
              </w:rPr>
              <w:t xml:space="preserve"> </w:t>
            </w:r>
            <w:r>
              <w:rPr>
                <w:rFonts w:ascii="Arial" w:hAnsi="Arial" w:cs="Arial"/>
                <w:i/>
                <w:iCs/>
                <w:sz w:val="18"/>
                <w:szCs w:val="18"/>
              </w:rPr>
              <w:t>to take each change</w:t>
            </w:r>
            <w:r w:rsidRPr="002B791A">
              <w:rPr>
                <w:rFonts w:ascii="Arial" w:hAnsi="Arial" w:cs="Arial"/>
                <w:i/>
                <w:iCs/>
                <w:sz w:val="18"/>
                <w:szCs w:val="18"/>
              </w:rPr>
              <w:t xml:space="preserve"> </w:t>
            </w:r>
            <w:r>
              <w:rPr>
                <w:rFonts w:ascii="Arial" w:hAnsi="Arial" w:cs="Arial"/>
                <w:i/>
                <w:iCs/>
                <w:sz w:val="18"/>
                <w:szCs w:val="18"/>
              </w:rPr>
              <w:t>forward</w:t>
            </w:r>
            <w:r w:rsidRPr="002B791A">
              <w:rPr>
                <w:rFonts w:ascii="Arial" w:hAnsi="Arial" w:cs="Arial"/>
                <w:i/>
                <w:iCs/>
                <w:sz w:val="18"/>
                <w:szCs w:val="18"/>
              </w:rPr>
              <w:t xml:space="preserve"> </w:t>
            </w:r>
            <w:r>
              <w:rPr>
                <w:rFonts w:ascii="Arial" w:hAnsi="Arial" w:cs="Arial"/>
                <w:i/>
                <w:iCs/>
                <w:sz w:val="18"/>
                <w:szCs w:val="18"/>
              </w:rPr>
              <w:t>where appropriate.</w:t>
            </w:r>
            <w:r w:rsidRPr="002B791A">
              <w:rPr>
                <w:rFonts w:ascii="Arial" w:hAnsi="Arial" w:cs="Arial"/>
                <w:i/>
                <w:iCs/>
                <w:sz w:val="18"/>
                <w:szCs w:val="18"/>
              </w:rPr>
              <w:t xml:space="preserve"> </w:t>
            </w:r>
            <w:r>
              <w:rPr>
                <w:rFonts w:ascii="Arial" w:hAnsi="Arial" w:cs="Arial"/>
                <w:i/>
                <w:iCs/>
                <w:sz w:val="18"/>
                <w:szCs w:val="18"/>
              </w:rPr>
              <w:t>Lessons</w:t>
            </w:r>
            <w:r w:rsidRPr="002B791A">
              <w:rPr>
                <w:rFonts w:ascii="Arial" w:hAnsi="Arial" w:cs="Arial"/>
                <w:i/>
                <w:iCs/>
                <w:sz w:val="18"/>
                <w:szCs w:val="18"/>
              </w:rPr>
              <w:t xml:space="preserve"> </w:t>
            </w:r>
            <w:r>
              <w:rPr>
                <w:rFonts w:ascii="Arial" w:hAnsi="Arial" w:cs="Arial"/>
                <w:i/>
                <w:iCs/>
                <w:sz w:val="18"/>
                <w:szCs w:val="18"/>
              </w:rPr>
              <w:t>will be shared with all</w:t>
            </w:r>
            <w:r w:rsidRPr="002B791A">
              <w:rPr>
                <w:rFonts w:ascii="Arial" w:hAnsi="Arial" w:cs="Arial"/>
                <w:i/>
                <w:iCs/>
                <w:sz w:val="18"/>
                <w:szCs w:val="18"/>
              </w:rPr>
              <w:t xml:space="preserve"> </w:t>
            </w:r>
            <w:r>
              <w:rPr>
                <w:rFonts w:ascii="Arial" w:hAnsi="Arial" w:cs="Arial"/>
                <w:i/>
                <w:iCs/>
                <w:sz w:val="18"/>
                <w:szCs w:val="18"/>
              </w:rPr>
              <w:t>the</w:t>
            </w:r>
            <w:r w:rsidRPr="002B791A">
              <w:rPr>
                <w:rFonts w:ascii="Arial" w:hAnsi="Arial" w:cs="Arial"/>
                <w:i/>
                <w:iCs/>
                <w:sz w:val="18"/>
                <w:szCs w:val="18"/>
              </w:rPr>
              <w:t xml:space="preserve"> </w:t>
            </w:r>
            <w:r>
              <w:rPr>
                <w:rFonts w:ascii="Arial" w:hAnsi="Arial" w:cs="Arial"/>
                <w:i/>
                <w:iCs/>
                <w:sz w:val="18"/>
                <w:szCs w:val="18"/>
              </w:rPr>
              <w:t>relevant</w:t>
            </w:r>
            <w:r w:rsidRPr="002B791A">
              <w:rPr>
                <w:rFonts w:ascii="Arial" w:hAnsi="Arial" w:cs="Arial"/>
                <w:i/>
                <w:iCs/>
                <w:sz w:val="18"/>
                <w:szCs w:val="18"/>
              </w:rPr>
              <w:t xml:space="preserve"> </w:t>
            </w:r>
            <w:r>
              <w:rPr>
                <w:rFonts w:ascii="Arial" w:hAnsi="Arial" w:cs="Arial"/>
                <w:i/>
                <w:iCs/>
                <w:sz w:val="18"/>
                <w:szCs w:val="18"/>
              </w:rPr>
              <w:t>stakeholders.</w:t>
            </w:r>
          </w:p>
        </w:tc>
      </w:tr>
    </w:tbl>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ind w:left="0"/>
        <w:rPr>
          <w:i/>
          <w:iCs/>
          <w:sz w:val="20"/>
          <w:szCs w:val="20"/>
        </w:rPr>
      </w:pPr>
    </w:p>
    <w:p w:rsidR="00FC5932" w:rsidRDefault="00FC5932" w:rsidP="00FC5932">
      <w:pPr>
        <w:pStyle w:val="BodyText"/>
        <w:kinsoku w:val="0"/>
        <w:overflowPunct w:val="0"/>
        <w:spacing w:before="3"/>
        <w:ind w:left="0"/>
        <w:rPr>
          <w:i/>
          <w:iCs/>
          <w:sz w:val="20"/>
          <w:szCs w:val="20"/>
        </w:rPr>
      </w:pPr>
    </w:p>
    <w:p w:rsidR="00FC5932" w:rsidRDefault="00FC5932" w:rsidP="00FC5932">
      <w:pPr>
        <w:pStyle w:val="BodyText"/>
        <w:kinsoku w:val="0"/>
        <w:overflowPunct w:val="0"/>
        <w:spacing w:before="77"/>
        <w:ind w:left="0" w:right="920"/>
        <w:jc w:val="right"/>
        <w:rPr>
          <w:sz w:val="18"/>
          <w:szCs w:val="18"/>
        </w:rPr>
        <w:sectPr w:rsidR="00FC5932">
          <w:footerReference w:type="default" r:id="rId15"/>
          <w:pgSz w:w="16840" w:h="11900" w:orient="landscape"/>
          <w:pgMar w:top="1100" w:right="880" w:bottom="280" w:left="960" w:header="0" w:footer="0" w:gutter="0"/>
          <w:cols w:space="720" w:equalWidth="0">
            <w:col w:w="15000"/>
          </w:cols>
          <w:noEndnote/>
        </w:sectPr>
      </w:pPr>
    </w:p>
    <w:p w:rsidR="00FC5932" w:rsidRDefault="00FC5932" w:rsidP="00FC5932">
      <w:pPr>
        <w:pStyle w:val="Heading2"/>
        <w:numPr>
          <w:ilvl w:val="0"/>
          <w:numId w:val="20"/>
        </w:numPr>
        <w:tabs>
          <w:tab w:val="left" w:pos="640"/>
        </w:tabs>
        <w:kinsoku w:val="0"/>
        <w:overflowPunct w:val="0"/>
        <w:spacing w:before="58"/>
        <w:ind w:left="639" w:hanging="539"/>
        <w:rPr>
          <w:b w:val="0"/>
          <w:bCs w:val="0"/>
        </w:rPr>
      </w:pPr>
      <w:r>
        <w:lastRenderedPageBreak/>
        <w:t>Associated documentation</w:t>
      </w:r>
    </w:p>
    <w:p w:rsidR="00317E89" w:rsidRDefault="00317E89" w:rsidP="00FC5932">
      <w:pPr>
        <w:pStyle w:val="BodyText"/>
        <w:kinsoku w:val="0"/>
        <w:overflowPunct w:val="0"/>
      </w:pPr>
    </w:p>
    <w:p w:rsidR="00FC5932" w:rsidRDefault="00317E89" w:rsidP="00FC5932">
      <w:pPr>
        <w:pStyle w:val="BodyText"/>
        <w:kinsoku w:val="0"/>
        <w:overflowPunct w:val="0"/>
      </w:pPr>
      <w:r>
        <w:t xml:space="preserve">Incentive </w:t>
      </w:r>
      <w:proofErr w:type="spellStart"/>
      <w:r>
        <w:t>Spirometry</w:t>
      </w:r>
      <w:proofErr w:type="spellEnd"/>
      <w:r>
        <w:t xml:space="preserve"> guideline for adults admitted with sickle cell crisis at risk of acute chest syndrome</w:t>
      </w:r>
    </w:p>
    <w:p w:rsidR="00FC5932" w:rsidRDefault="00FC5932" w:rsidP="00FC5932">
      <w:pPr>
        <w:pStyle w:val="BodyText"/>
        <w:kinsoku w:val="0"/>
        <w:overflowPunct w:val="0"/>
        <w:ind w:left="0"/>
      </w:pPr>
    </w:p>
    <w:p w:rsidR="00FC5932" w:rsidRDefault="00FC5932" w:rsidP="00FC5932">
      <w:pPr>
        <w:pStyle w:val="BodyText"/>
        <w:kinsoku w:val="0"/>
        <w:overflowPunct w:val="0"/>
        <w:spacing w:before="11"/>
        <w:ind w:left="0"/>
        <w:rPr>
          <w:sz w:val="21"/>
          <w:szCs w:val="21"/>
        </w:rPr>
      </w:pPr>
    </w:p>
    <w:p w:rsidR="00FC5932" w:rsidRDefault="00FC5932" w:rsidP="00FC5932">
      <w:pPr>
        <w:pStyle w:val="Heading2"/>
        <w:numPr>
          <w:ilvl w:val="0"/>
          <w:numId w:val="20"/>
        </w:numPr>
        <w:tabs>
          <w:tab w:val="left" w:pos="636"/>
        </w:tabs>
        <w:kinsoku w:val="0"/>
        <w:overflowPunct w:val="0"/>
        <w:spacing w:line="276" w:lineRule="exact"/>
        <w:ind w:left="635"/>
        <w:rPr>
          <w:b w:val="0"/>
          <w:bCs w:val="0"/>
        </w:rPr>
      </w:pPr>
      <w:r>
        <w:t>References</w:t>
      </w:r>
    </w:p>
    <w:p w:rsidR="0022350C" w:rsidRDefault="0022350C" w:rsidP="001C49BB">
      <w:pPr>
        <w:ind w:left="635"/>
        <w:rPr>
          <w:rFonts w:ascii="Arial" w:hAnsi="Arial" w:cs="Arial"/>
          <w:sz w:val="22"/>
          <w:szCs w:val="22"/>
        </w:rPr>
      </w:pPr>
    </w:p>
    <w:p w:rsidR="008004AB" w:rsidRDefault="008004AB" w:rsidP="008004AB">
      <w:pPr>
        <w:pStyle w:val="Default"/>
        <w:numPr>
          <w:ilvl w:val="0"/>
          <w:numId w:val="14"/>
        </w:numPr>
        <w:rPr>
          <w:rFonts w:ascii="Arial" w:hAnsi="Arial" w:cs="Arial"/>
          <w:sz w:val="22"/>
          <w:szCs w:val="22"/>
        </w:rPr>
      </w:pPr>
      <w:r w:rsidRPr="009679C6">
        <w:rPr>
          <w:rFonts w:ascii="Arial" w:hAnsi="Arial" w:cs="Arial"/>
          <w:sz w:val="22"/>
          <w:szCs w:val="22"/>
        </w:rPr>
        <w:t xml:space="preserve">West Midlands Review Service – Quality Standards: Health Services for People with Haemoglobin Disorders (2018/19) </w:t>
      </w:r>
    </w:p>
    <w:p w:rsidR="008004AB" w:rsidRPr="009679C6" w:rsidRDefault="008004AB" w:rsidP="008004AB">
      <w:pPr>
        <w:pStyle w:val="Default"/>
        <w:ind w:left="720"/>
        <w:rPr>
          <w:rFonts w:ascii="Arial" w:hAnsi="Arial" w:cs="Arial"/>
          <w:sz w:val="22"/>
          <w:szCs w:val="22"/>
        </w:rPr>
      </w:pPr>
    </w:p>
    <w:p w:rsidR="008004AB" w:rsidRDefault="008004AB" w:rsidP="008004AB">
      <w:pPr>
        <w:pStyle w:val="Default"/>
        <w:numPr>
          <w:ilvl w:val="0"/>
          <w:numId w:val="14"/>
        </w:numPr>
        <w:rPr>
          <w:rFonts w:ascii="Arial" w:hAnsi="Arial" w:cs="Arial"/>
          <w:sz w:val="22"/>
          <w:szCs w:val="22"/>
        </w:rPr>
      </w:pPr>
      <w:r w:rsidRPr="009679C6">
        <w:rPr>
          <w:rFonts w:ascii="Arial" w:hAnsi="Arial" w:cs="Arial"/>
          <w:sz w:val="22"/>
          <w:szCs w:val="22"/>
        </w:rPr>
        <w:t>Standards for the Clinical Care of</w:t>
      </w:r>
      <w:r w:rsidR="0087797F">
        <w:rPr>
          <w:rFonts w:ascii="Arial" w:hAnsi="Arial" w:cs="Arial"/>
          <w:sz w:val="22"/>
          <w:szCs w:val="22"/>
        </w:rPr>
        <w:t xml:space="preserve"> </w:t>
      </w:r>
      <w:r w:rsidRPr="009679C6">
        <w:rPr>
          <w:rFonts w:ascii="Arial" w:hAnsi="Arial" w:cs="Arial"/>
          <w:sz w:val="22"/>
          <w:szCs w:val="22"/>
        </w:rPr>
        <w:t xml:space="preserve">Adults with Sickle Cell Disease in the UK 2018 (Sickle Cell Society) </w:t>
      </w:r>
      <w:hyperlink r:id="rId16" w:history="1">
        <w:r w:rsidRPr="009679C6">
          <w:rPr>
            <w:rStyle w:val="Hyperlink"/>
            <w:rFonts w:ascii="Arial" w:hAnsi="Arial" w:cs="Arial"/>
            <w:sz w:val="22"/>
            <w:szCs w:val="22"/>
          </w:rPr>
          <w:t>https://www.sicklecellsociety.org/wp-content/uploads/2018/04/Web-version-FINAL-SCS-Standards-GSM-6.4.18.pdf</w:t>
        </w:r>
      </w:hyperlink>
      <w:r w:rsidRPr="009679C6">
        <w:rPr>
          <w:rFonts w:ascii="Arial" w:hAnsi="Arial" w:cs="Arial"/>
          <w:sz w:val="22"/>
          <w:szCs w:val="22"/>
        </w:rPr>
        <w:t xml:space="preserve"> </w:t>
      </w:r>
    </w:p>
    <w:p w:rsidR="008004AB" w:rsidRPr="009679C6" w:rsidRDefault="008004AB" w:rsidP="008004AB">
      <w:pPr>
        <w:pStyle w:val="Default"/>
        <w:rPr>
          <w:rFonts w:ascii="Arial" w:hAnsi="Arial" w:cs="Arial"/>
          <w:sz w:val="22"/>
          <w:szCs w:val="22"/>
        </w:rPr>
      </w:pPr>
    </w:p>
    <w:p w:rsidR="008004AB" w:rsidRPr="00FE5F60" w:rsidRDefault="008004AB" w:rsidP="008004AB">
      <w:pPr>
        <w:pStyle w:val="ListParagraph"/>
        <w:numPr>
          <w:ilvl w:val="0"/>
          <w:numId w:val="14"/>
        </w:numPr>
        <w:rPr>
          <w:rFonts w:ascii="Arial" w:hAnsi="Arial" w:cs="Arial"/>
          <w:sz w:val="22"/>
          <w:szCs w:val="22"/>
        </w:rPr>
      </w:pPr>
      <w:r w:rsidRPr="009679C6">
        <w:rPr>
          <w:rFonts w:ascii="Arial" w:hAnsi="Arial" w:cs="Arial"/>
          <w:sz w:val="22"/>
          <w:szCs w:val="22"/>
        </w:rPr>
        <w:t xml:space="preserve">British Society Haematology : guidelines </w:t>
      </w:r>
      <w:r w:rsidRPr="009679C6">
        <w:rPr>
          <w:rFonts w:ascii="Arial" w:hAnsi="Arial" w:cs="Arial"/>
          <w:color w:val="000000"/>
          <w:sz w:val="22"/>
          <w:szCs w:val="22"/>
        </w:rPr>
        <w:t xml:space="preserve">Red Cell Transfusion in Sickle Cell Disease Part I and Part II (7.11.17 and 18.11.18) </w:t>
      </w:r>
      <w:hyperlink r:id="rId17" w:history="1">
        <w:r w:rsidRPr="009679C6">
          <w:rPr>
            <w:rStyle w:val="Hyperlink"/>
            <w:rFonts w:ascii="Arial" w:hAnsi="Arial" w:cs="Arial"/>
            <w:sz w:val="22"/>
            <w:szCs w:val="22"/>
          </w:rPr>
          <w:t>https://b-s-h.org.uk/guidelines/guidelines/red-cell-transfusion-in-sickle-cell-disease-part-l/</w:t>
        </w:r>
      </w:hyperlink>
      <w:r w:rsidRPr="009679C6">
        <w:rPr>
          <w:rFonts w:ascii="Arial" w:hAnsi="Arial" w:cs="Arial"/>
          <w:color w:val="000000"/>
          <w:sz w:val="22"/>
          <w:szCs w:val="22"/>
        </w:rPr>
        <w:t xml:space="preserve"> </w:t>
      </w:r>
    </w:p>
    <w:p w:rsidR="008004AB" w:rsidRPr="009679C6" w:rsidRDefault="008004AB" w:rsidP="008004AB">
      <w:pPr>
        <w:pStyle w:val="ListParagraph"/>
        <w:ind w:left="720"/>
        <w:rPr>
          <w:rFonts w:ascii="Arial" w:hAnsi="Arial" w:cs="Arial"/>
          <w:sz w:val="22"/>
          <w:szCs w:val="22"/>
        </w:rPr>
      </w:pPr>
    </w:p>
    <w:p w:rsidR="008004AB" w:rsidRPr="001C49BB" w:rsidRDefault="008004AB" w:rsidP="001C49BB">
      <w:pPr>
        <w:ind w:left="635"/>
        <w:rPr>
          <w:rFonts w:ascii="Arial" w:hAnsi="Arial" w:cs="Arial"/>
          <w:sz w:val="22"/>
          <w:szCs w:val="22"/>
        </w:rPr>
      </w:pPr>
    </w:p>
    <w:sectPr w:rsidR="008004AB" w:rsidRPr="001C49BB" w:rsidSect="00A35FA1">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2639" w:rsidRDefault="00A02639" w:rsidP="00FC5932">
      <w:r>
        <w:separator/>
      </w:r>
    </w:p>
  </w:endnote>
  <w:endnote w:type="continuationSeparator" w:id="0">
    <w:p w:rsidR="00A02639" w:rsidRDefault="00A02639" w:rsidP="00FC5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us">
    <w:panose1 w:val="02020603050405020304"/>
    <w:charset w:val="00"/>
    <w:family w:val="roman"/>
    <w:pitch w:val="variable"/>
    <w:sig w:usb0="00002003" w:usb1="80000000" w:usb2="00000008" w:usb3="00000000" w:csb0="00000041" w:csb1="00000000"/>
  </w:font>
  <w:font w:name="Apple Symbols">
    <w:altName w:val="Times New Roman"/>
    <w:charset w:val="00"/>
    <w:family w:val="auto"/>
    <w:pitch w:val="variable"/>
    <w:sig w:usb0="00000003" w:usb1="00000000" w:usb2="00000000" w:usb3="00000000" w:csb0="00000001" w:csb1="00000000"/>
  </w:font>
  <w:font w:name="Meiryo">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9" w:rsidRDefault="00A02639">
    <w:pPr>
      <w:pStyle w:val="BodyText"/>
      <w:kinsoku w:val="0"/>
      <w:overflowPunct w:val="0"/>
      <w:spacing w:line="14" w:lineRule="auto"/>
      <w:ind w:left="0"/>
      <w:rPr>
        <w:rFonts w:ascii="Times New Roman" w:hAnsi="Times New Roman" w:cs="Times New Roman"/>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9" w:rsidRDefault="00A02639">
    <w:pPr>
      <w:pStyle w:val="BodyText"/>
      <w:kinsoku w:val="0"/>
      <w:overflowPunct w:val="0"/>
      <w:spacing w:line="14" w:lineRule="auto"/>
      <w:ind w:left="0"/>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2639" w:rsidRDefault="00A02639" w:rsidP="00FC5932">
      <w:r>
        <w:separator/>
      </w:r>
    </w:p>
  </w:footnote>
  <w:footnote w:type="continuationSeparator" w:id="0">
    <w:p w:rsidR="00A02639" w:rsidRDefault="00A02639" w:rsidP="00FC5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639" w:rsidRDefault="00A02639">
    <w:pPr>
      <w:pStyle w:val="Header"/>
    </w:pPr>
  </w:p>
  <w:p w:rsidR="00A02639" w:rsidRDefault="00A02639" w:rsidP="00CE1C71">
    <w:pPr>
      <w:pStyle w:val="Header"/>
      <w:ind w:left="5040"/>
    </w:pPr>
    <w:r>
      <w:rPr>
        <w:noProof/>
      </w:rPr>
      <w:drawing>
        <wp:inline distT="0" distB="0" distL="0" distR="0">
          <wp:extent cx="3224173" cy="35729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02586" cy="354898"/>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402"/>
    <w:multiLevelType w:val="multilevel"/>
    <w:tmpl w:val="00000885"/>
    <w:lvl w:ilvl="0">
      <w:numFmt w:val="bullet"/>
      <w:lvlText w:val=""/>
      <w:lvlJc w:val="left"/>
      <w:pPr>
        <w:ind w:left="1380" w:hanging="361"/>
      </w:pPr>
      <w:rPr>
        <w:rFonts w:ascii="Symbol" w:hAnsi="Symbol" w:cs="Courier New"/>
        <w:b w:val="0"/>
        <w:bCs w:val="0"/>
        <w:w w:val="99"/>
        <w:sz w:val="22"/>
        <w:szCs w:val="22"/>
      </w:rPr>
    </w:lvl>
    <w:lvl w:ilvl="1">
      <w:numFmt w:val="bullet"/>
      <w:lvlText w:val="•"/>
      <w:lvlJc w:val="left"/>
      <w:pPr>
        <w:ind w:left="2168" w:hanging="361"/>
      </w:pPr>
    </w:lvl>
    <w:lvl w:ilvl="2">
      <w:numFmt w:val="bullet"/>
      <w:lvlText w:val="•"/>
      <w:lvlJc w:val="left"/>
      <w:pPr>
        <w:ind w:left="2956" w:hanging="361"/>
      </w:pPr>
    </w:lvl>
    <w:lvl w:ilvl="3">
      <w:numFmt w:val="bullet"/>
      <w:lvlText w:val="•"/>
      <w:lvlJc w:val="left"/>
      <w:pPr>
        <w:ind w:left="3744" w:hanging="361"/>
      </w:pPr>
    </w:lvl>
    <w:lvl w:ilvl="4">
      <w:numFmt w:val="bullet"/>
      <w:lvlText w:val="•"/>
      <w:lvlJc w:val="left"/>
      <w:pPr>
        <w:ind w:left="4532" w:hanging="361"/>
      </w:pPr>
    </w:lvl>
    <w:lvl w:ilvl="5">
      <w:numFmt w:val="bullet"/>
      <w:lvlText w:val="•"/>
      <w:lvlJc w:val="left"/>
      <w:pPr>
        <w:ind w:left="5320" w:hanging="361"/>
      </w:pPr>
    </w:lvl>
    <w:lvl w:ilvl="6">
      <w:numFmt w:val="bullet"/>
      <w:lvlText w:val="•"/>
      <w:lvlJc w:val="left"/>
      <w:pPr>
        <w:ind w:left="6108" w:hanging="361"/>
      </w:pPr>
    </w:lvl>
    <w:lvl w:ilvl="7">
      <w:numFmt w:val="bullet"/>
      <w:lvlText w:val="•"/>
      <w:lvlJc w:val="left"/>
      <w:pPr>
        <w:ind w:left="6896" w:hanging="361"/>
      </w:pPr>
    </w:lvl>
    <w:lvl w:ilvl="8">
      <w:numFmt w:val="bullet"/>
      <w:lvlText w:val="•"/>
      <w:lvlJc w:val="left"/>
      <w:pPr>
        <w:ind w:left="7684" w:hanging="361"/>
      </w:pPr>
    </w:lvl>
  </w:abstractNum>
  <w:abstractNum w:abstractNumId="1">
    <w:nsid w:val="00000403"/>
    <w:multiLevelType w:val="multilevel"/>
    <w:tmpl w:val="00000886"/>
    <w:lvl w:ilvl="0">
      <w:start w:val="1"/>
      <w:numFmt w:val="decimal"/>
      <w:lvlText w:val="%1."/>
      <w:lvlJc w:val="left"/>
      <w:pPr>
        <w:ind w:left="640" w:hanging="540"/>
      </w:pPr>
      <w:rPr>
        <w:rFonts w:ascii="Arial" w:hAnsi="Arial" w:cs="Symbol"/>
        <w:b/>
        <w:bCs/>
        <w:w w:val="99"/>
      </w:rPr>
    </w:lvl>
    <w:lvl w:ilvl="1">
      <w:numFmt w:val="bullet"/>
      <w:lvlText w:val=""/>
      <w:lvlJc w:val="left"/>
      <w:pPr>
        <w:ind w:left="1359" w:hanging="361"/>
      </w:pPr>
      <w:rPr>
        <w:rFonts w:ascii="Symbol" w:hAnsi="Symbol" w:cs="Courier New"/>
        <w:b w:val="0"/>
        <w:bCs w:val="0"/>
        <w:w w:val="99"/>
        <w:sz w:val="22"/>
        <w:szCs w:val="22"/>
      </w:rPr>
    </w:lvl>
    <w:lvl w:ilvl="2">
      <w:numFmt w:val="bullet"/>
      <w:lvlText w:val="•"/>
      <w:lvlJc w:val="left"/>
      <w:pPr>
        <w:ind w:left="940" w:hanging="361"/>
      </w:pPr>
    </w:lvl>
    <w:lvl w:ilvl="3">
      <w:numFmt w:val="bullet"/>
      <w:lvlText w:val="•"/>
      <w:lvlJc w:val="left"/>
      <w:pPr>
        <w:ind w:left="1360" w:hanging="361"/>
      </w:pPr>
    </w:lvl>
    <w:lvl w:ilvl="4">
      <w:numFmt w:val="bullet"/>
      <w:lvlText w:val="•"/>
      <w:lvlJc w:val="left"/>
      <w:pPr>
        <w:ind w:left="2488" w:hanging="361"/>
      </w:pPr>
    </w:lvl>
    <w:lvl w:ilvl="5">
      <w:numFmt w:val="bullet"/>
      <w:lvlText w:val="•"/>
      <w:lvlJc w:val="left"/>
      <w:pPr>
        <w:ind w:left="3617" w:hanging="361"/>
      </w:pPr>
    </w:lvl>
    <w:lvl w:ilvl="6">
      <w:numFmt w:val="bullet"/>
      <w:lvlText w:val="•"/>
      <w:lvlJc w:val="left"/>
      <w:pPr>
        <w:ind w:left="4745" w:hanging="361"/>
      </w:pPr>
    </w:lvl>
    <w:lvl w:ilvl="7">
      <w:numFmt w:val="bullet"/>
      <w:lvlText w:val="•"/>
      <w:lvlJc w:val="left"/>
      <w:pPr>
        <w:ind w:left="5874" w:hanging="361"/>
      </w:pPr>
    </w:lvl>
    <w:lvl w:ilvl="8">
      <w:numFmt w:val="bullet"/>
      <w:lvlText w:val="•"/>
      <w:lvlJc w:val="left"/>
      <w:pPr>
        <w:ind w:left="7002" w:hanging="361"/>
      </w:pPr>
    </w:lvl>
  </w:abstractNum>
  <w:abstractNum w:abstractNumId="2">
    <w:nsid w:val="00000404"/>
    <w:multiLevelType w:val="multilevel"/>
    <w:tmpl w:val="00000887"/>
    <w:lvl w:ilvl="0">
      <w:start w:val="5"/>
      <w:numFmt w:val="decimal"/>
      <w:lvlText w:val="%1"/>
      <w:lvlJc w:val="left"/>
      <w:pPr>
        <w:ind w:left="1007" w:hanging="367"/>
      </w:pPr>
    </w:lvl>
    <w:lvl w:ilvl="1">
      <w:start w:val="1"/>
      <w:numFmt w:val="decimal"/>
      <w:lvlText w:val="%1.%2"/>
      <w:lvlJc w:val="left"/>
      <w:pPr>
        <w:ind w:left="1007" w:hanging="367"/>
      </w:pPr>
      <w:rPr>
        <w:rFonts w:ascii="Arial" w:hAnsi="Arial" w:cs="Symbol"/>
        <w:b/>
        <w:bCs/>
        <w:w w:val="99"/>
        <w:sz w:val="22"/>
        <w:szCs w:val="22"/>
      </w:rPr>
    </w:lvl>
    <w:lvl w:ilvl="2">
      <w:numFmt w:val="bullet"/>
      <w:lvlText w:val=""/>
      <w:lvlJc w:val="left"/>
      <w:pPr>
        <w:ind w:left="1359" w:hanging="360"/>
      </w:pPr>
      <w:rPr>
        <w:rFonts w:ascii="Symbol" w:hAnsi="Symbol" w:cs="Courier New"/>
        <w:b w:val="0"/>
        <w:bCs w:val="0"/>
        <w:w w:val="99"/>
        <w:sz w:val="22"/>
        <w:szCs w:val="22"/>
      </w:rPr>
    </w:lvl>
    <w:lvl w:ilvl="3">
      <w:numFmt w:val="bullet"/>
      <w:lvlText w:val="•"/>
      <w:lvlJc w:val="left"/>
      <w:pPr>
        <w:ind w:left="2522" w:hanging="360"/>
      </w:pPr>
    </w:lvl>
    <w:lvl w:ilvl="4">
      <w:numFmt w:val="bullet"/>
      <w:lvlText w:val="•"/>
      <w:lvlJc w:val="left"/>
      <w:pPr>
        <w:ind w:left="3485" w:hanging="360"/>
      </w:pPr>
    </w:lvl>
    <w:lvl w:ilvl="5">
      <w:numFmt w:val="bullet"/>
      <w:lvlText w:val="•"/>
      <w:lvlJc w:val="left"/>
      <w:pPr>
        <w:ind w:left="4447" w:hanging="360"/>
      </w:pPr>
    </w:lvl>
    <w:lvl w:ilvl="6">
      <w:numFmt w:val="bullet"/>
      <w:lvlText w:val="•"/>
      <w:lvlJc w:val="left"/>
      <w:pPr>
        <w:ind w:left="5410" w:hanging="360"/>
      </w:pPr>
    </w:lvl>
    <w:lvl w:ilvl="7">
      <w:numFmt w:val="bullet"/>
      <w:lvlText w:val="•"/>
      <w:lvlJc w:val="left"/>
      <w:pPr>
        <w:ind w:left="6372" w:hanging="360"/>
      </w:pPr>
    </w:lvl>
    <w:lvl w:ilvl="8">
      <w:numFmt w:val="bullet"/>
      <w:lvlText w:val="•"/>
      <w:lvlJc w:val="left"/>
      <w:pPr>
        <w:ind w:left="7335" w:hanging="360"/>
      </w:pPr>
    </w:lvl>
  </w:abstractNum>
  <w:abstractNum w:abstractNumId="3">
    <w:nsid w:val="00000405"/>
    <w:multiLevelType w:val="multilevel"/>
    <w:tmpl w:val="00000888"/>
    <w:lvl w:ilvl="0">
      <w:start w:val="6"/>
      <w:numFmt w:val="decimal"/>
      <w:lvlText w:val="%1"/>
      <w:lvlJc w:val="left"/>
      <w:pPr>
        <w:ind w:left="1007" w:hanging="367"/>
      </w:pPr>
    </w:lvl>
    <w:lvl w:ilvl="1">
      <w:start w:val="1"/>
      <w:numFmt w:val="decimal"/>
      <w:lvlText w:val="%1.%2"/>
      <w:lvlJc w:val="left"/>
      <w:pPr>
        <w:ind w:left="1007" w:hanging="367"/>
      </w:pPr>
      <w:rPr>
        <w:rFonts w:ascii="Arial" w:hAnsi="Arial" w:cs="Symbol"/>
        <w:b/>
        <w:bCs/>
        <w:w w:val="99"/>
        <w:sz w:val="22"/>
        <w:szCs w:val="22"/>
      </w:rPr>
    </w:lvl>
    <w:lvl w:ilvl="2">
      <w:numFmt w:val="bullet"/>
      <w:lvlText w:val="•"/>
      <w:lvlJc w:val="left"/>
      <w:pPr>
        <w:ind w:left="2295" w:hanging="367"/>
      </w:pPr>
    </w:lvl>
    <w:lvl w:ilvl="3">
      <w:numFmt w:val="bullet"/>
      <w:lvlText w:val="•"/>
      <w:lvlJc w:val="left"/>
      <w:pPr>
        <w:ind w:left="3231" w:hanging="367"/>
      </w:pPr>
    </w:lvl>
    <w:lvl w:ilvl="4">
      <w:numFmt w:val="bullet"/>
      <w:lvlText w:val="•"/>
      <w:lvlJc w:val="left"/>
      <w:pPr>
        <w:ind w:left="4166" w:hanging="367"/>
      </w:pPr>
    </w:lvl>
    <w:lvl w:ilvl="5">
      <w:numFmt w:val="bullet"/>
      <w:lvlText w:val="•"/>
      <w:lvlJc w:val="left"/>
      <w:pPr>
        <w:ind w:left="5102" w:hanging="367"/>
      </w:pPr>
    </w:lvl>
    <w:lvl w:ilvl="6">
      <w:numFmt w:val="bullet"/>
      <w:lvlText w:val="•"/>
      <w:lvlJc w:val="left"/>
      <w:pPr>
        <w:ind w:left="6037" w:hanging="367"/>
      </w:pPr>
    </w:lvl>
    <w:lvl w:ilvl="7">
      <w:numFmt w:val="bullet"/>
      <w:lvlText w:val="•"/>
      <w:lvlJc w:val="left"/>
      <w:pPr>
        <w:ind w:left="6973" w:hanging="367"/>
      </w:pPr>
    </w:lvl>
    <w:lvl w:ilvl="8">
      <w:numFmt w:val="bullet"/>
      <w:lvlText w:val="•"/>
      <w:lvlJc w:val="left"/>
      <w:pPr>
        <w:ind w:left="7908" w:hanging="367"/>
      </w:pPr>
    </w:lvl>
  </w:abstractNum>
  <w:abstractNum w:abstractNumId="4">
    <w:nsid w:val="00000406"/>
    <w:multiLevelType w:val="multilevel"/>
    <w:tmpl w:val="00000889"/>
    <w:lvl w:ilvl="0">
      <w:numFmt w:val="bullet"/>
      <w:lvlText w:val="-"/>
      <w:lvlJc w:val="left"/>
      <w:pPr>
        <w:ind w:left="1359" w:hanging="360"/>
      </w:pPr>
      <w:rPr>
        <w:rFonts w:ascii="Times New Roman" w:hAnsi="Times New Roman" w:cs="Times New Roman"/>
        <w:b w:val="0"/>
        <w:bCs w:val="0"/>
        <w:w w:val="99"/>
        <w:sz w:val="22"/>
        <w:szCs w:val="22"/>
      </w:rPr>
    </w:lvl>
    <w:lvl w:ilvl="1">
      <w:numFmt w:val="bullet"/>
      <w:lvlText w:val="•"/>
      <w:lvlJc w:val="left"/>
      <w:pPr>
        <w:ind w:left="2202" w:hanging="360"/>
      </w:pPr>
    </w:lvl>
    <w:lvl w:ilvl="2">
      <w:numFmt w:val="bullet"/>
      <w:lvlText w:val="•"/>
      <w:lvlJc w:val="left"/>
      <w:pPr>
        <w:ind w:left="3044" w:hanging="360"/>
      </w:pPr>
    </w:lvl>
    <w:lvl w:ilvl="3">
      <w:numFmt w:val="bullet"/>
      <w:lvlText w:val="•"/>
      <w:lvlJc w:val="left"/>
      <w:pPr>
        <w:ind w:left="3886" w:hanging="360"/>
      </w:pPr>
    </w:lvl>
    <w:lvl w:ilvl="4">
      <w:numFmt w:val="bullet"/>
      <w:lvlText w:val="•"/>
      <w:lvlJc w:val="left"/>
      <w:pPr>
        <w:ind w:left="4728" w:hanging="360"/>
      </w:pPr>
    </w:lvl>
    <w:lvl w:ilvl="5">
      <w:numFmt w:val="bullet"/>
      <w:lvlText w:val="•"/>
      <w:lvlJc w:val="left"/>
      <w:pPr>
        <w:ind w:left="5570" w:hanging="360"/>
      </w:pPr>
    </w:lvl>
    <w:lvl w:ilvl="6">
      <w:numFmt w:val="bullet"/>
      <w:lvlText w:val="•"/>
      <w:lvlJc w:val="left"/>
      <w:pPr>
        <w:ind w:left="6412" w:hanging="360"/>
      </w:pPr>
    </w:lvl>
    <w:lvl w:ilvl="7">
      <w:numFmt w:val="bullet"/>
      <w:lvlText w:val="•"/>
      <w:lvlJc w:val="left"/>
      <w:pPr>
        <w:ind w:left="7254" w:hanging="360"/>
      </w:pPr>
    </w:lvl>
    <w:lvl w:ilvl="8">
      <w:numFmt w:val="bullet"/>
      <w:lvlText w:val="•"/>
      <w:lvlJc w:val="left"/>
      <w:pPr>
        <w:ind w:left="8096" w:hanging="360"/>
      </w:pPr>
    </w:lvl>
  </w:abstractNum>
  <w:abstractNum w:abstractNumId="5">
    <w:nsid w:val="00000407"/>
    <w:multiLevelType w:val="multilevel"/>
    <w:tmpl w:val="0000088A"/>
    <w:lvl w:ilvl="0">
      <w:numFmt w:val="bullet"/>
      <w:lvlText w:val=""/>
      <w:lvlJc w:val="left"/>
      <w:pPr>
        <w:ind w:left="609" w:hanging="150"/>
      </w:pPr>
      <w:rPr>
        <w:rFonts w:ascii="Symbol" w:hAnsi="Symbol" w:cs="Courier New"/>
        <w:b w:val="0"/>
        <w:bCs w:val="0"/>
        <w:w w:val="99"/>
        <w:sz w:val="22"/>
        <w:szCs w:val="22"/>
      </w:rPr>
    </w:lvl>
    <w:lvl w:ilvl="1">
      <w:numFmt w:val="bullet"/>
      <w:lvlText w:val=""/>
      <w:lvlJc w:val="left"/>
      <w:pPr>
        <w:ind w:left="1051" w:hanging="212"/>
      </w:pPr>
      <w:rPr>
        <w:rFonts w:ascii="Symbol" w:hAnsi="Symbol" w:cs="Courier New"/>
        <w:b w:val="0"/>
        <w:bCs w:val="0"/>
        <w:w w:val="99"/>
        <w:sz w:val="22"/>
        <w:szCs w:val="22"/>
      </w:rPr>
    </w:lvl>
    <w:lvl w:ilvl="2">
      <w:numFmt w:val="bullet"/>
      <w:lvlText w:val="•"/>
      <w:lvlJc w:val="left"/>
      <w:pPr>
        <w:ind w:left="1968" w:hanging="212"/>
      </w:pPr>
    </w:lvl>
    <w:lvl w:ilvl="3">
      <w:numFmt w:val="bullet"/>
      <w:lvlText w:val="•"/>
      <w:lvlJc w:val="left"/>
      <w:pPr>
        <w:ind w:left="2877" w:hanging="212"/>
      </w:pPr>
    </w:lvl>
    <w:lvl w:ilvl="4">
      <w:numFmt w:val="bullet"/>
      <w:lvlText w:val="•"/>
      <w:lvlJc w:val="left"/>
      <w:pPr>
        <w:ind w:left="3786" w:hanging="212"/>
      </w:pPr>
    </w:lvl>
    <w:lvl w:ilvl="5">
      <w:numFmt w:val="bullet"/>
      <w:lvlText w:val="•"/>
      <w:lvlJc w:val="left"/>
      <w:pPr>
        <w:ind w:left="4695" w:hanging="212"/>
      </w:pPr>
    </w:lvl>
    <w:lvl w:ilvl="6">
      <w:numFmt w:val="bullet"/>
      <w:lvlText w:val="•"/>
      <w:lvlJc w:val="left"/>
      <w:pPr>
        <w:ind w:left="5604" w:hanging="212"/>
      </w:pPr>
    </w:lvl>
    <w:lvl w:ilvl="7">
      <w:numFmt w:val="bullet"/>
      <w:lvlText w:val="•"/>
      <w:lvlJc w:val="left"/>
      <w:pPr>
        <w:ind w:left="6513" w:hanging="212"/>
      </w:pPr>
    </w:lvl>
    <w:lvl w:ilvl="8">
      <w:numFmt w:val="bullet"/>
      <w:lvlText w:val="•"/>
      <w:lvlJc w:val="left"/>
      <w:pPr>
        <w:ind w:left="7422" w:hanging="212"/>
      </w:pPr>
    </w:lvl>
  </w:abstractNum>
  <w:abstractNum w:abstractNumId="6">
    <w:nsid w:val="00000408"/>
    <w:multiLevelType w:val="multilevel"/>
    <w:tmpl w:val="0000088B"/>
    <w:lvl w:ilvl="0">
      <w:start w:val="9"/>
      <w:numFmt w:val="decimal"/>
      <w:lvlText w:val="%1"/>
      <w:lvlJc w:val="left"/>
      <w:pPr>
        <w:ind w:left="1007" w:hanging="368"/>
      </w:pPr>
    </w:lvl>
    <w:lvl w:ilvl="1">
      <w:start w:val="1"/>
      <w:numFmt w:val="decimal"/>
      <w:lvlText w:val="%1.%2"/>
      <w:lvlJc w:val="left"/>
      <w:pPr>
        <w:ind w:left="1007" w:hanging="368"/>
      </w:pPr>
      <w:rPr>
        <w:rFonts w:ascii="Arial" w:hAnsi="Arial" w:cs="Symbol"/>
        <w:b/>
        <w:bCs/>
        <w:w w:val="99"/>
        <w:sz w:val="22"/>
        <w:szCs w:val="22"/>
      </w:rPr>
    </w:lvl>
    <w:lvl w:ilvl="2">
      <w:numFmt w:val="bullet"/>
      <w:lvlText w:val="•"/>
      <w:lvlJc w:val="left"/>
      <w:pPr>
        <w:ind w:left="2756" w:hanging="368"/>
      </w:pPr>
    </w:lvl>
    <w:lvl w:ilvl="3">
      <w:numFmt w:val="bullet"/>
      <w:lvlText w:val="•"/>
      <w:lvlJc w:val="left"/>
      <w:pPr>
        <w:ind w:left="3634" w:hanging="368"/>
      </w:pPr>
    </w:lvl>
    <w:lvl w:ilvl="4">
      <w:numFmt w:val="bullet"/>
      <w:lvlText w:val="•"/>
      <w:lvlJc w:val="left"/>
      <w:pPr>
        <w:ind w:left="4512" w:hanging="368"/>
      </w:pPr>
    </w:lvl>
    <w:lvl w:ilvl="5">
      <w:numFmt w:val="bullet"/>
      <w:lvlText w:val="•"/>
      <w:lvlJc w:val="left"/>
      <w:pPr>
        <w:ind w:left="5390" w:hanging="368"/>
      </w:pPr>
    </w:lvl>
    <w:lvl w:ilvl="6">
      <w:numFmt w:val="bullet"/>
      <w:lvlText w:val="•"/>
      <w:lvlJc w:val="left"/>
      <w:pPr>
        <w:ind w:left="6268" w:hanging="368"/>
      </w:pPr>
    </w:lvl>
    <w:lvl w:ilvl="7">
      <w:numFmt w:val="bullet"/>
      <w:lvlText w:val="•"/>
      <w:lvlJc w:val="left"/>
      <w:pPr>
        <w:ind w:left="7146" w:hanging="368"/>
      </w:pPr>
    </w:lvl>
    <w:lvl w:ilvl="8">
      <w:numFmt w:val="bullet"/>
      <w:lvlText w:val="•"/>
      <w:lvlJc w:val="left"/>
      <w:pPr>
        <w:ind w:left="8024" w:hanging="368"/>
      </w:pPr>
    </w:lvl>
  </w:abstractNum>
  <w:abstractNum w:abstractNumId="7">
    <w:nsid w:val="00000409"/>
    <w:multiLevelType w:val="multilevel"/>
    <w:tmpl w:val="0000088C"/>
    <w:lvl w:ilvl="0">
      <w:numFmt w:val="bullet"/>
      <w:lvlText w:val=""/>
      <w:lvlJc w:val="left"/>
      <w:pPr>
        <w:ind w:left="273" w:hanging="154"/>
      </w:pPr>
      <w:rPr>
        <w:rFonts w:ascii="Symbol" w:hAnsi="Symbol" w:cs="Courier New"/>
        <w:b w:val="0"/>
        <w:bCs w:val="0"/>
        <w:w w:val="99"/>
        <w:sz w:val="10"/>
        <w:szCs w:val="10"/>
      </w:rPr>
    </w:lvl>
    <w:lvl w:ilvl="1">
      <w:numFmt w:val="bullet"/>
      <w:lvlText w:val="•"/>
      <w:lvlJc w:val="left"/>
      <w:pPr>
        <w:ind w:left="527" w:hanging="154"/>
      </w:pPr>
    </w:lvl>
    <w:lvl w:ilvl="2">
      <w:numFmt w:val="bullet"/>
      <w:lvlText w:val="•"/>
      <w:lvlJc w:val="left"/>
      <w:pPr>
        <w:ind w:left="774" w:hanging="154"/>
      </w:pPr>
    </w:lvl>
    <w:lvl w:ilvl="3">
      <w:numFmt w:val="bullet"/>
      <w:lvlText w:val="•"/>
      <w:lvlJc w:val="left"/>
      <w:pPr>
        <w:ind w:left="1021" w:hanging="154"/>
      </w:pPr>
    </w:lvl>
    <w:lvl w:ilvl="4">
      <w:numFmt w:val="bullet"/>
      <w:lvlText w:val="•"/>
      <w:lvlJc w:val="left"/>
      <w:pPr>
        <w:ind w:left="1268" w:hanging="154"/>
      </w:pPr>
    </w:lvl>
    <w:lvl w:ilvl="5">
      <w:numFmt w:val="bullet"/>
      <w:lvlText w:val="•"/>
      <w:lvlJc w:val="left"/>
      <w:pPr>
        <w:ind w:left="1515" w:hanging="154"/>
      </w:pPr>
    </w:lvl>
    <w:lvl w:ilvl="6">
      <w:numFmt w:val="bullet"/>
      <w:lvlText w:val="•"/>
      <w:lvlJc w:val="left"/>
      <w:pPr>
        <w:ind w:left="1762" w:hanging="154"/>
      </w:pPr>
    </w:lvl>
    <w:lvl w:ilvl="7">
      <w:numFmt w:val="bullet"/>
      <w:lvlText w:val="•"/>
      <w:lvlJc w:val="left"/>
      <w:pPr>
        <w:ind w:left="2009" w:hanging="154"/>
      </w:pPr>
    </w:lvl>
    <w:lvl w:ilvl="8">
      <w:numFmt w:val="bullet"/>
      <w:lvlText w:val="•"/>
      <w:lvlJc w:val="left"/>
      <w:pPr>
        <w:ind w:left="2256" w:hanging="154"/>
      </w:pPr>
    </w:lvl>
  </w:abstractNum>
  <w:abstractNum w:abstractNumId="8">
    <w:nsid w:val="0000040A"/>
    <w:multiLevelType w:val="multilevel"/>
    <w:tmpl w:val="0000088D"/>
    <w:lvl w:ilvl="0">
      <w:numFmt w:val="bullet"/>
      <w:lvlText w:val=""/>
      <w:lvlJc w:val="left"/>
      <w:pPr>
        <w:ind w:left="438" w:hanging="334"/>
      </w:pPr>
      <w:rPr>
        <w:rFonts w:ascii="Symbol" w:hAnsi="Symbol" w:cs="Courier New"/>
        <w:b w:val="0"/>
        <w:bCs w:val="0"/>
        <w:w w:val="99"/>
        <w:sz w:val="10"/>
        <w:szCs w:val="10"/>
      </w:rPr>
    </w:lvl>
    <w:lvl w:ilvl="1">
      <w:numFmt w:val="bullet"/>
      <w:lvlText w:val="•"/>
      <w:lvlJc w:val="left"/>
      <w:pPr>
        <w:ind w:left="670" w:hanging="334"/>
      </w:pPr>
    </w:lvl>
    <w:lvl w:ilvl="2">
      <w:numFmt w:val="bullet"/>
      <w:lvlText w:val="•"/>
      <w:lvlJc w:val="left"/>
      <w:pPr>
        <w:ind w:left="901" w:hanging="334"/>
      </w:pPr>
    </w:lvl>
    <w:lvl w:ilvl="3">
      <w:numFmt w:val="bullet"/>
      <w:lvlText w:val="•"/>
      <w:lvlJc w:val="left"/>
      <w:pPr>
        <w:ind w:left="1131" w:hanging="334"/>
      </w:pPr>
    </w:lvl>
    <w:lvl w:ilvl="4">
      <w:numFmt w:val="bullet"/>
      <w:lvlText w:val="•"/>
      <w:lvlJc w:val="left"/>
      <w:pPr>
        <w:ind w:left="1362" w:hanging="334"/>
      </w:pPr>
    </w:lvl>
    <w:lvl w:ilvl="5">
      <w:numFmt w:val="bullet"/>
      <w:lvlText w:val="•"/>
      <w:lvlJc w:val="left"/>
      <w:pPr>
        <w:ind w:left="1592" w:hanging="334"/>
      </w:pPr>
    </w:lvl>
    <w:lvl w:ilvl="6">
      <w:numFmt w:val="bullet"/>
      <w:lvlText w:val="•"/>
      <w:lvlJc w:val="left"/>
      <w:pPr>
        <w:ind w:left="1823" w:hanging="334"/>
      </w:pPr>
    </w:lvl>
    <w:lvl w:ilvl="7">
      <w:numFmt w:val="bullet"/>
      <w:lvlText w:val="•"/>
      <w:lvlJc w:val="left"/>
      <w:pPr>
        <w:ind w:left="2053" w:hanging="334"/>
      </w:pPr>
    </w:lvl>
    <w:lvl w:ilvl="8">
      <w:numFmt w:val="bullet"/>
      <w:lvlText w:val="•"/>
      <w:lvlJc w:val="left"/>
      <w:pPr>
        <w:ind w:left="2284" w:hanging="334"/>
      </w:pPr>
    </w:lvl>
  </w:abstractNum>
  <w:abstractNum w:abstractNumId="9">
    <w:nsid w:val="0000040B"/>
    <w:multiLevelType w:val="multilevel"/>
    <w:tmpl w:val="0000088E"/>
    <w:lvl w:ilvl="0">
      <w:numFmt w:val="bullet"/>
      <w:lvlText w:val="-"/>
      <w:lvlJc w:val="left"/>
      <w:pPr>
        <w:ind w:left="823" w:hanging="361"/>
      </w:pPr>
      <w:rPr>
        <w:rFonts w:ascii="Arial" w:hAnsi="Arial" w:cs="Symbol"/>
        <w:b w:val="0"/>
        <w:bCs w:val="0"/>
        <w:w w:val="99"/>
        <w:sz w:val="16"/>
        <w:szCs w:val="16"/>
      </w:rPr>
    </w:lvl>
    <w:lvl w:ilvl="1">
      <w:numFmt w:val="bullet"/>
      <w:lvlText w:val="•"/>
      <w:lvlJc w:val="left"/>
      <w:pPr>
        <w:ind w:left="1037" w:hanging="361"/>
      </w:pPr>
    </w:lvl>
    <w:lvl w:ilvl="2">
      <w:numFmt w:val="bullet"/>
      <w:lvlText w:val="•"/>
      <w:lvlJc w:val="left"/>
      <w:pPr>
        <w:ind w:left="1254" w:hanging="361"/>
      </w:pPr>
    </w:lvl>
    <w:lvl w:ilvl="3">
      <w:numFmt w:val="bullet"/>
      <w:lvlText w:val="•"/>
      <w:lvlJc w:val="left"/>
      <w:pPr>
        <w:ind w:left="1471" w:hanging="361"/>
      </w:pPr>
    </w:lvl>
    <w:lvl w:ilvl="4">
      <w:numFmt w:val="bullet"/>
      <w:lvlText w:val="•"/>
      <w:lvlJc w:val="left"/>
      <w:pPr>
        <w:ind w:left="1688" w:hanging="361"/>
      </w:pPr>
    </w:lvl>
    <w:lvl w:ilvl="5">
      <w:numFmt w:val="bullet"/>
      <w:lvlText w:val="•"/>
      <w:lvlJc w:val="left"/>
      <w:pPr>
        <w:ind w:left="1905" w:hanging="361"/>
      </w:pPr>
    </w:lvl>
    <w:lvl w:ilvl="6">
      <w:numFmt w:val="bullet"/>
      <w:lvlText w:val="•"/>
      <w:lvlJc w:val="left"/>
      <w:pPr>
        <w:ind w:left="2122" w:hanging="361"/>
      </w:pPr>
    </w:lvl>
    <w:lvl w:ilvl="7">
      <w:numFmt w:val="bullet"/>
      <w:lvlText w:val="•"/>
      <w:lvlJc w:val="left"/>
      <w:pPr>
        <w:ind w:left="2339" w:hanging="361"/>
      </w:pPr>
    </w:lvl>
    <w:lvl w:ilvl="8">
      <w:numFmt w:val="bullet"/>
      <w:lvlText w:val="•"/>
      <w:lvlJc w:val="left"/>
      <w:pPr>
        <w:ind w:left="2556" w:hanging="361"/>
      </w:pPr>
    </w:lvl>
  </w:abstractNum>
  <w:abstractNum w:abstractNumId="10">
    <w:nsid w:val="0000040C"/>
    <w:multiLevelType w:val="multilevel"/>
    <w:tmpl w:val="0000088F"/>
    <w:lvl w:ilvl="0">
      <w:numFmt w:val="bullet"/>
      <w:lvlText w:val=""/>
      <w:lvlJc w:val="left"/>
      <w:pPr>
        <w:ind w:left="373" w:hanging="319"/>
      </w:pPr>
      <w:rPr>
        <w:rFonts w:ascii="Symbol" w:hAnsi="Symbol" w:cs="Courier New"/>
        <w:b w:val="0"/>
        <w:bCs w:val="0"/>
        <w:w w:val="99"/>
        <w:sz w:val="16"/>
        <w:szCs w:val="16"/>
      </w:rPr>
    </w:lvl>
    <w:lvl w:ilvl="1">
      <w:numFmt w:val="bullet"/>
      <w:lvlText w:val="•"/>
      <w:lvlJc w:val="left"/>
      <w:pPr>
        <w:ind w:left="641" w:hanging="319"/>
      </w:pPr>
    </w:lvl>
    <w:lvl w:ilvl="2">
      <w:numFmt w:val="bullet"/>
      <w:lvlText w:val="•"/>
      <w:lvlJc w:val="left"/>
      <w:pPr>
        <w:ind w:left="902" w:hanging="319"/>
      </w:pPr>
    </w:lvl>
    <w:lvl w:ilvl="3">
      <w:numFmt w:val="bullet"/>
      <w:lvlText w:val="•"/>
      <w:lvlJc w:val="left"/>
      <w:pPr>
        <w:ind w:left="1163" w:hanging="319"/>
      </w:pPr>
    </w:lvl>
    <w:lvl w:ilvl="4">
      <w:numFmt w:val="bullet"/>
      <w:lvlText w:val="•"/>
      <w:lvlJc w:val="left"/>
      <w:pPr>
        <w:ind w:left="1424" w:hanging="319"/>
      </w:pPr>
    </w:lvl>
    <w:lvl w:ilvl="5">
      <w:numFmt w:val="bullet"/>
      <w:lvlText w:val="•"/>
      <w:lvlJc w:val="left"/>
      <w:pPr>
        <w:ind w:left="1685" w:hanging="319"/>
      </w:pPr>
    </w:lvl>
    <w:lvl w:ilvl="6">
      <w:numFmt w:val="bullet"/>
      <w:lvlText w:val="•"/>
      <w:lvlJc w:val="left"/>
      <w:pPr>
        <w:ind w:left="1946" w:hanging="319"/>
      </w:pPr>
    </w:lvl>
    <w:lvl w:ilvl="7">
      <w:numFmt w:val="bullet"/>
      <w:lvlText w:val="•"/>
      <w:lvlJc w:val="left"/>
      <w:pPr>
        <w:ind w:left="2207" w:hanging="319"/>
      </w:pPr>
    </w:lvl>
    <w:lvl w:ilvl="8">
      <w:numFmt w:val="bullet"/>
      <w:lvlText w:val="•"/>
      <w:lvlJc w:val="left"/>
      <w:pPr>
        <w:ind w:left="2468" w:hanging="319"/>
      </w:pPr>
    </w:lvl>
  </w:abstractNum>
  <w:abstractNum w:abstractNumId="11">
    <w:nsid w:val="0000040D"/>
    <w:multiLevelType w:val="multilevel"/>
    <w:tmpl w:val="00000890"/>
    <w:lvl w:ilvl="0">
      <w:numFmt w:val="bullet"/>
      <w:lvlText w:val=""/>
      <w:lvlJc w:val="left"/>
      <w:pPr>
        <w:ind w:left="463" w:hanging="361"/>
      </w:pPr>
      <w:rPr>
        <w:rFonts w:ascii="Symbol" w:hAnsi="Symbol" w:cs="Courier New"/>
        <w:b w:val="0"/>
        <w:bCs w:val="0"/>
        <w:w w:val="99"/>
        <w:sz w:val="16"/>
        <w:szCs w:val="16"/>
      </w:rPr>
    </w:lvl>
    <w:lvl w:ilvl="1">
      <w:numFmt w:val="bullet"/>
      <w:lvlText w:val="•"/>
      <w:lvlJc w:val="left"/>
      <w:pPr>
        <w:ind w:left="713" w:hanging="361"/>
      </w:pPr>
    </w:lvl>
    <w:lvl w:ilvl="2">
      <w:numFmt w:val="bullet"/>
      <w:lvlText w:val="•"/>
      <w:lvlJc w:val="left"/>
      <w:pPr>
        <w:ind w:left="966" w:hanging="361"/>
      </w:pPr>
    </w:lvl>
    <w:lvl w:ilvl="3">
      <w:numFmt w:val="bullet"/>
      <w:lvlText w:val="•"/>
      <w:lvlJc w:val="left"/>
      <w:pPr>
        <w:ind w:left="1219" w:hanging="361"/>
      </w:pPr>
    </w:lvl>
    <w:lvl w:ilvl="4">
      <w:numFmt w:val="bullet"/>
      <w:lvlText w:val="•"/>
      <w:lvlJc w:val="left"/>
      <w:pPr>
        <w:ind w:left="1472" w:hanging="361"/>
      </w:pPr>
    </w:lvl>
    <w:lvl w:ilvl="5">
      <w:numFmt w:val="bullet"/>
      <w:lvlText w:val="•"/>
      <w:lvlJc w:val="left"/>
      <w:pPr>
        <w:ind w:left="1725" w:hanging="361"/>
      </w:pPr>
    </w:lvl>
    <w:lvl w:ilvl="6">
      <w:numFmt w:val="bullet"/>
      <w:lvlText w:val="•"/>
      <w:lvlJc w:val="left"/>
      <w:pPr>
        <w:ind w:left="1978" w:hanging="361"/>
      </w:pPr>
    </w:lvl>
    <w:lvl w:ilvl="7">
      <w:numFmt w:val="bullet"/>
      <w:lvlText w:val="•"/>
      <w:lvlJc w:val="left"/>
      <w:pPr>
        <w:ind w:left="2231" w:hanging="361"/>
      </w:pPr>
    </w:lvl>
    <w:lvl w:ilvl="8">
      <w:numFmt w:val="bullet"/>
      <w:lvlText w:val="•"/>
      <w:lvlJc w:val="left"/>
      <w:pPr>
        <w:ind w:left="2484" w:hanging="361"/>
      </w:pPr>
    </w:lvl>
  </w:abstractNum>
  <w:abstractNum w:abstractNumId="12">
    <w:nsid w:val="0000040E"/>
    <w:multiLevelType w:val="multilevel"/>
    <w:tmpl w:val="00000891"/>
    <w:lvl w:ilvl="0">
      <w:start w:val="1"/>
      <w:numFmt w:val="decimal"/>
      <w:lvlText w:val="%1."/>
      <w:lvlJc w:val="left"/>
      <w:pPr>
        <w:ind w:left="634" w:hanging="535"/>
      </w:pPr>
      <w:rPr>
        <w:rFonts w:ascii="Arial" w:hAnsi="Arial" w:cs="Symbol"/>
        <w:b/>
        <w:bCs/>
        <w:w w:val="100"/>
        <w:sz w:val="24"/>
        <w:szCs w:val="24"/>
      </w:rPr>
    </w:lvl>
    <w:lvl w:ilvl="1">
      <w:start w:val="1"/>
      <w:numFmt w:val="decimal"/>
      <w:lvlText w:val="%2."/>
      <w:lvlJc w:val="left"/>
      <w:pPr>
        <w:ind w:left="4196" w:hanging="268"/>
      </w:pPr>
      <w:rPr>
        <w:spacing w:val="-1"/>
        <w:u w:val="thick"/>
      </w:rPr>
    </w:lvl>
    <w:lvl w:ilvl="2">
      <w:numFmt w:val="bullet"/>
      <w:lvlText w:val="•"/>
      <w:lvlJc w:val="left"/>
      <w:pPr>
        <w:ind w:left="4200" w:hanging="268"/>
      </w:pPr>
    </w:lvl>
    <w:lvl w:ilvl="3">
      <w:numFmt w:val="bullet"/>
      <w:lvlText w:val="•"/>
      <w:lvlJc w:val="left"/>
      <w:pPr>
        <w:ind w:left="4875" w:hanging="268"/>
      </w:pPr>
    </w:lvl>
    <w:lvl w:ilvl="4">
      <w:numFmt w:val="bullet"/>
      <w:lvlText w:val="•"/>
      <w:lvlJc w:val="left"/>
      <w:pPr>
        <w:ind w:left="5550" w:hanging="268"/>
      </w:pPr>
    </w:lvl>
    <w:lvl w:ilvl="5">
      <w:numFmt w:val="bullet"/>
      <w:lvlText w:val="•"/>
      <w:lvlJc w:val="left"/>
      <w:pPr>
        <w:ind w:left="6225" w:hanging="268"/>
      </w:pPr>
    </w:lvl>
    <w:lvl w:ilvl="6">
      <w:numFmt w:val="bullet"/>
      <w:lvlText w:val="•"/>
      <w:lvlJc w:val="left"/>
      <w:pPr>
        <w:ind w:left="6900" w:hanging="268"/>
      </w:pPr>
    </w:lvl>
    <w:lvl w:ilvl="7">
      <w:numFmt w:val="bullet"/>
      <w:lvlText w:val="•"/>
      <w:lvlJc w:val="left"/>
      <w:pPr>
        <w:ind w:left="7575" w:hanging="268"/>
      </w:pPr>
    </w:lvl>
    <w:lvl w:ilvl="8">
      <w:numFmt w:val="bullet"/>
      <w:lvlText w:val="•"/>
      <w:lvlJc w:val="left"/>
      <w:pPr>
        <w:ind w:left="8250" w:hanging="268"/>
      </w:pPr>
    </w:lvl>
  </w:abstractNum>
  <w:abstractNum w:abstractNumId="13">
    <w:nsid w:val="00AB4623"/>
    <w:multiLevelType w:val="multilevel"/>
    <w:tmpl w:val="D11C99D6"/>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4">
    <w:nsid w:val="0EA6395A"/>
    <w:multiLevelType w:val="hybridMultilevel"/>
    <w:tmpl w:val="7A9E69A4"/>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5">
    <w:nsid w:val="1223735A"/>
    <w:multiLevelType w:val="multilevel"/>
    <w:tmpl w:val="3E48D288"/>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6">
    <w:nsid w:val="14761D42"/>
    <w:multiLevelType w:val="hybridMultilevel"/>
    <w:tmpl w:val="A2C6ED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16852B1C"/>
    <w:multiLevelType w:val="hybridMultilevel"/>
    <w:tmpl w:val="FF18D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180E0BB3"/>
    <w:multiLevelType w:val="hybridMultilevel"/>
    <w:tmpl w:val="C73864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1BD31868"/>
    <w:multiLevelType w:val="hybridMultilevel"/>
    <w:tmpl w:val="E162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1F3603F5"/>
    <w:multiLevelType w:val="hybridMultilevel"/>
    <w:tmpl w:val="1EA06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25D510FC"/>
    <w:multiLevelType w:val="hybridMultilevel"/>
    <w:tmpl w:val="91201020"/>
    <w:lvl w:ilvl="0" w:tplc="9A6496BE">
      <w:start w:val="7"/>
      <w:numFmt w:val="decimal"/>
      <w:lvlText w:val="%1."/>
      <w:lvlJc w:val="left"/>
      <w:pPr>
        <w:ind w:left="460" w:hanging="360"/>
      </w:pPr>
      <w:rPr>
        <w:rFonts w:hint="default"/>
        <w:b/>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2">
    <w:nsid w:val="26DA34D5"/>
    <w:multiLevelType w:val="hybridMultilevel"/>
    <w:tmpl w:val="E6E439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2F6869E9"/>
    <w:multiLevelType w:val="hybridMultilevel"/>
    <w:tmpl w:val="AAC6FF4C"/>
    <w:lvl w:ilvl="0" w:tplc="08090003">
      <w:start w:val="1"/>
      <w:numFmt w:val="bullet"/>
      <w:lvlText w:val="o"/>
      <w:lvlJc w:val="left"/>
      <w:pPr>
        <w:ind w:left="1440" w:hanging="360"/>
      </w:pPr>
      <w:rPr>
        <w:rFonts w:ascii="Courier New" w:hAnsi="Courier New"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35891143"/>
    <w:multiLevelType w:val="hybridMultilevel"/>
    <w:tmpl w:val="5BAA1586"/>
    <w:lvl w:ilvl="0" w:tplc="08090001">
      <w:start w:val="1"/>
      <w:numFmt w:val="bullet"/>
      <w:lvlText w:val=""/>
      <w:lvlJc w:val="left"/>
      <w:pPr>
        <w:ind w:left="1354" w:hanging="360"/>
      </w:pPr>
      <w:rPr>
        <w:rFonts w:ascii="Symbol" w:hAnsi="Symbol" w:hint="default"/>
      </w:rPr>
    </w:lvl>
    <w:lvl w:ilvl="1" w:tplc="08090003" w:tentative="1">
      <w:start w:val="1"/>
      <w:numFmt w:val="bullet"/>
      <w:lvlText w:val="o"/>
      <w:lvlJc w:val="left"/>
      <w:pPr>
        <w:ind w:left="2074" w:hanging="360"/>
      </w:pPr>
      <w:rPr>
        <w:rFonts w:ascii="Courier New" w:hAnsi="Courier New" w:cs="Arial" w:hint="default"/>
      </w:rPr>
    </w:lvl>
    <w:lvl w:ilvl="2" w:tplc="08090005" w:tentative="1">
      <w:start w:val="1"/>
      <w:numFmt w:val="bullet"/>
      <w:lvlText w:val=""/>
      <w:lvlJc w:val="left"/>
      <w:pPr>
        <w:ind w:left="2794" w:hanging="360"/>
      </w:pPr>
      <w:rPr>
        <w:rFonts w:ascii="Wingdings" w:hAnsi="Wingdings" w:hint="default"/>
      </w:rPr>
    </w:lvl>
    <w:lvl w:ilvl="3" w:tplc="08090001" w:tentative="1">
      <w:start w:val="1"/>
      <w:numFmt w:val="bullet"/>
      <w:lvlText w:val=""/>
      <w:lvlJc w:val="left"/>
      <w:pPr>
        <w:ind w:left="3514" w:hanging="360"/>
      </w:pPr>
      <w:rPr>
        <w:rFonts w:ascii="Symbol" w:hAnsi="Symbol" w:hint="default"/>
      </w:rPr>
    </w:lvl>
    <w:lvl w:ilvl="4" w:tplc="08090003" w:tentative="1">
      <w:start w:val="1"/>
      <w:numFmt w:val="bullet"/>
      <w:lvlText w:val="o"/>
      <w:lvlJc w:val="left"/>
      <w:pPr>
        <w:ind w:left="4234" w:hanging="360"/>
      </w:pPr>
      <w:rPr>
        <w:rFonts w:ascii="Courier New" w:hAnsi="Courier New" w:cs="Arial" w:hint="default"/>
      </w:rPr>
    </w:lvl>
    <w:lvl w:ilvl="5" w:tplc="08090005" w:tentative="1">
      <w:start w:val="1"/>
      <w:numFmt w:val="bullet"/>
      <w:lvlText w:val=""/>
      <w:lvlJc w:val="left"/>
      <w:pPr>
        <w:ind w:left="4954" w:hanging="360"/>
      </w:pPr>
      <w:rPr>
        <w:rFonts w:ascii="Wingdings" w:hAnsi="Wingdings" w:hint="default"/>
      </w:rPr>
    </w:lvl>
    <w:lvl w:ilvl="6" w:tplc="08090001" w:tentative="1">
      <w:start w:val="1"/>
      <w:numFmt w:val="bullet"/>
      <w:lvlText w:val=""/>
      <w:lvlJc w:val="left"/>
      <w:pPr>
        <w:ind w:left="5674" w:hanging="360"/>
      </w:pPr>
      <w:rPr>
        <w:rFonts w:ascii="Symbol" w:hAnsi="Symbol" w:hint="default"/>
      </w:rPr>
    </w:lvl>
    <w:lvl w:ilvl="7" w:tplc="08090003" w:tentative="1">
      <w:start w:val="1"/>
      <w:numFmt w:val="bullet"/>
      <w:lvlText w:val="o"/>
      <w:lvlJc w:val="left"/>
      <w:pPr>
        <w:ind w:left="6394" w:hanging="360"/>
      </w:pPr>
      <w:rPr>
        <w:rFonts w:ascii="Courier New" w:hAnsi="Courier New" w:cs="Arial" w:hint="default"/>
      </w:rPr>
    </w:lvl>
    <w:lvl w:ilvl="8" w:tplc="08090005" w:tentative="1">
      <w:start w:val="1"/>
      <w:numFmt w:val="bullet"/>
      <w:lvlText w:val=""/>
      <w:lvlJc w:val="left"/>
      <w:pPr>
        <w:ind w:left="7114" w:hanging="360"/>
      </w:pPr>
      <w:rPr>
        <w:rFonts w:ascii="Wingdings" w:hAnsi="Wingdings" w:hint="default"/>
      </w:rPr>
    </w:lvl>
  </w:abstractNum>
  <w:abstractNum w:abstractNumId="25">
    <w:nsid w:val="3A911BA5"/>
    <w:multiLevelType w:val="multilevel"/>
    <w:tmpl w:val="739E1802"/>
    <w:lvl w:ilvl="0">
      <w:start w:val="6"/>
      <w:numFmt w:val="decimal"/>
      <w:lvlText w:val="%1.0"/>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26">
    <w:nsid w:val="46A147D0"/>
    <w:multiLevelType w:val="hybridMultilevel"/>
    <w:tmpl w:val="3EE40F8A"/>
    <w:lvl w:ilvl="0" w:tplc="D5CA4B5A">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27">
    <w:nsid w:val="48942268"/>
    <w:multiLevelType w:val="hybridMultilevel"/>
    <w:tmpl w:val="42541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49F4630A"/>
    <w:multiLevelType w:val="hybridMultilevel"/>
    <w:tmpl w:val="8026A50C"/>
    <w:lvl w:ilvl="0" w:tplc="04090001">
      <w:start w:val="1"/>
      <w:numFmt w:val="bullet"/>
      <w:lvlText w:val=""/>
      <w:lvlJc w:val="left"/>
      <w:pPr>
        <w:ind w:left="1354" w:hanging="360"/>
      </w:pPr>
      <w:rPr>
        <w:rFonts w:ascii="Symbol" w:hAnsi="Symbol" w:hint="default"/>
      </w:rPr>
    </w:lvl>
    <w:lvl w:ilvl="1" w:tplc="04090003" w:tentative="1">
      <w:start w:val="1"/>
      <w:numFmt w:val="bullet"/>
      <w:lvlText w:val="o"/>
      <w:lvlJc w:val="left"/>
      <w:pPr>
        <w:ind w:left="2074" w:hanging="360"/>
      </w:pPr>
      <w:rPr>
        <w:rFonts w:ascii="Courier New" w:hAnsi="Courier New" w:hint="default"/>
      </w:rPr>
    </w:lvl>
    <w:lvl w:ilvl="2" w:tplc="04090005" w:tentative="1">
      <w:start w:val="1"/>
      <w:numFmt w:val="bullet"/>
      <w:lvlText w:val=""/>
      <w:lvlJc w:val="left"/>
      <w:pPr>
        <w:ind w:left="2794" w:hanging="360"/>
      </w:pPr>
      <w:rPr>
        <w:rFonts w:ascii="Wingdings" w:hAnsi="Wingdings" w:hint="default"/>
      </w:rPr>
    </w:lvl>
    <w:lvl w:ilvl="3" w:tplc="04090001" w:tentative="1">
      <w:start w:val="1"/>
      <w:numFmt w:val="bullet"/>
      <w:lvlText w:val=""/>
      <w:lvlJc w:val="left"/>
      <w:pPr>
        <w:ind w:left="3514" w:hanging="360"/>
      </w:pPr>
      <w:rPr>
        <w:rFonts w:ascii="Symbol" w:hAnsi="Symbol" w:hint="default"/>
      </w:rPr>
    </w:lvl>
    <w:lvl w:ilvl="4" w:tplc="04090003" w:tentative="1">
      <w:start w:val="1"/>
      <w:numFmt w:val="bullet"/>
      <w:lvlText w:val="o"/>
      <w:lvlJc w:val="left"/>
      <w:pPr>
        <w:ind w:left="4234" w:hanging="360"/>
      </w:pPr>
      <w:rPr>
        <w:rFonts w:ascii="Courier New" w:hAnsi="Courier New" w:hint="default"/>
      </w:rPr>
    </w:lvl>
    <w:lvl w:ilvl="5" w:tplc="04090005" w:tentative="1">
      <w:start w:val="1"/>
      <w:numFmt w:val="bullet"/>
      <w:lvlText w:val=""/>
      <w:lvlJc w:val="left"/>
      <w:pPr>
        <w:ind w:left="4954" w:hanging="360"/>
      </w:pPr>
      <w:rPr>
        <w:rFonts w:ascii="Wingdings" w:hAnsi="Wingdings" w:hint="default"/>
      </w:rPr>
    </w:lvl>
    <w:lvl w:ilvl="6" w:tplc="04090001" w:tentative="1">
      <w:start w:val="1"/>
      <w:numFmt w:val="bullet"/>
      <w:lvlText w:val=""/>
      <w:lvlJc w:val="left"/>
      <w:pPr>
        <w:ind w:left="5674" w:hanging="360"/>
      </w:pPr>
      <w:rPr>
        <w:rFonts w:ascii="Symbol" w:hAnsi="Symbol" w:hint="default"/>
      </w:rPr>
    </w:lvl>
    <w:lvl w:ilvl="7" w:tplc="04090003" w:tentative="1">
      <w:start w:val="1"/>
      <w:numFmt w:val="bullet"/>
      <w:lvlText w:val="o"/>
      <w:lvlJc w:val="left"/>
      <w:pPr>
        <w:ind w:left="6394" w:hanging="360"/>
      </w:pPr>
      <w:rPr>
        <w:rFonts w:ascii="Courier New" w:hAnsi="Courier New" w:hint="default"/>
      </w:rPr>
    </w:lvl>
    <w:lvl w:ilvl="8" w:tplc="04090005" w:tentative="1">
      <w:start w:val="1"/>
      <w:numFmt w:val="bullet"/>
      <w:lvlText w:val=""/>
      <w:lvlJc w:val="left"/>
      <w:pPr>
        <w:ind w:left="7114" w:hanging="360"/>
      </w:pPr>
      <w:rPr>
        <w:rFonts w:ascii="Wingdings" w:hAnsi="Wingdings" w:hint="default"/>
      </w:rPr>
    </w:lvl>
  </w:abstractNum>
  <w:abstractNum w:abstractNumId="29">
    <w:nsid w:val="4EDF7C44"/>
    <w:multiLevelType w:val="hybridMultilevel"/>
    <w:tmpl w:val="71D44A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22B065A"/>
    <w:multiLevelType w:val="hybridMultilevel"/>
    <w:tmpl w:val="A7AAA6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D8742BD"/>
    <w:multiLevelType w:val="hybridMultilevel"/>
    <w:tmpl w:val="424846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nsid w:val="67EF7911"/>
    <w:multiLevelType w:val="multilevel"/>
    <w:tmpl w:val="BAFCD1CC"/>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C2773C8"/>
    <w:multiLevelType w:val="hybridMultilevel"/>
    <w:tmpl w:val="D89C86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4">
    <w:nsid w:val="7B6D459B"/>
    <w:multiLevelType w:val="hybridMultilevel"/>
    <w:tmpl w:val="0AFA6A4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1"/>
  </w:num>
  <w:num w:numId="3">
    <w:abstractNumId w:val="10"/>
  </w:num>
  <w:num w:numId="4">
    <w:abstractNumId w:val="9"/>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29"/>
  </w:num>
  <w:num w:numId="15">
    <w:abstractNumId w:val="24"/>
  </w:num>
  <w:num w:numId="16">
    <w:abstractNumId w:val="25"/>
  </w:num>
  <w:num w:numId="17">
    <w:abstractNumId w:val="15"/>
  </w:num>
  <w:num w:numId="18">
    <w:abstractNumId w:val="13"/>
  </w:num>
  <w:num w:numId="19">
    <w:abstractNumId w:val="28"/>
  </w:num>
  <w:num w:numId="20">
    <w:abstractNumId w:val="21"/>
  </w:num>
  <w:num w:numId="21">
    <w:abstractNumId w:val="26"/>
  </w:num>
  <w:num w:numId="22">
    <w:abstractNumId w:val="16"/>
  </w:num>
  <w:num w:numId="23">
    <w:abstractNumId w:val="31"/>
  </w:num>
  <w:num w:numId="24">
    <w:abstractNumId w:val="19"/>
  </w:num>
  <w:num w:numId="25">
    <w:abstractNumId w:val="20"/>
  </w:num>
  <w:num w:numId="26">
    <w:abstractNumId w:val="30"/>
  </w:num>
  <w:num w:numId="27">
    <w:abstractNumId w:val="18"/>
  </w:num>
  <w:num w:numId="28">
    <w:abstractNumId w:val="23"/>
  </w:num>
  <w:num w:numId="29">
    <w:abstractNumId w:val="34"/>
  </w:num>
  <w:num w:numId="30">
    <w:abstractNumId w:val="14"/>
  </w:num>
  <w:num w:numId="31">
    <w:abstractNumId w:val="22"/>
  </w:num>
  <w:num w:numId="32">
    <w:abstractNumId w:val="32"/>
  </w:num>
  <w:num w:numId="33">
    <w:abstractNumId w:val="27"/>
  </w:num>
  <w:num w:numId="34">
    <w:abstractNumId w:val="33"/>
  </w:num>
  <w:num w:numId="3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932"/>
    <w:rsid w:val="00031F85"/>
    <w:rsid w:val="00051388"/>
    <w:rsid w:val="00052B93"/>
    <w:rsid w:val="000A505A"/>
    <w:rsid w:val="000A6C7C"/>
    <w:rsid w:val="000B0F01"/>
    <w:rsid w:val="000C2E20"/>
    <w:rsid w:val="000F2EF9"/>
    <w:rsid w:val="001770F8"/>
    <w:rsid w:val="00196DD0"/>
    <w:rsid w:val="001C49BB"/>
    <w:rsid w:val="00200884"/>
    <w:rsid w:val="002047ED"/>
    <w:rsid w:val="0022350C"/>
    <w:rsid w:val="00256416"/>
    <w:rsid w:val="002804BD"/>
    <w:rsid w:val="002A1369"/>
    <w:rsid w:val="002B791A"/>
    <w:rsid w:val="002C1988"/>
    <w:rsid w:val="002D16C0"/>
    <w:rsid w:val="00317E89"/>
    <w:rsid w:val="00330144"/>
    <w:rsid w:val="00356A7F"/>
    <w:rsid w:val="00362EC3"/>
    <w:rsid w:val="00374469"/>
    <w:rsid w:val="00397937"/>
    <w:rsid w:val="00412226"/>
    <w:rsid w:val="00412561"/>
    <w:rsid w:val="00423D50"/>
    <w:rsid w:val="004661A7"/>
    <w:rsid w:val="00467B29"/>
    <w:rsid w:val="00487880"/>
    <w:rsid w:val="00516E42"/>
    <w:rsid w:val="005771F3"/>
    <w:rsid w:val="00587067"/>
    <w:rsid w:val="00593602"/>
    <w:rsid w:val="005B2407"/>
    <w:rsid w:val="00676827"/>
    <w:rsid w:val="006A4F51"/>
    <w:rsid w:val="006C67FC"/>
    <w:rsid w:val="006C692A"/>
    <w:rsid w:val="006D754A"/>
    <w:rsid w:val="007115F0"/>
    <w:rsid w:val="00723894"/>
    <w:rsid w:val="00746254"/>
    <w:rsid w:val="00792FC3"/>
    <w:rsid w:val="007C4CC5"/>
    <w:rsid w:val="007D2FA5"/>
    <w:rsid w:val="007F0B08"/>
    <w:rsid w:val="008004AB"/>
    <w:rsid w:val="00802AE5"/>
    <w:rsid w:val="0080552C"/>
    <w:rsid w:val="00805F3B"/>
    <w:rsid w:val="00842278"/>
    <w:rsid w:val="00846166"/>
    <w:rsid w:val="00863399"/>
    <w:rsid w:val="008663ED"/>
    <w:rsid w:val="0087797F"/>
    <w:rsid w:val="008F22EA"/>
    <w:rsid w:val="008F3FAA"/>
    <w:rsid w:val="008F4B2F"/>
    <w:rsid w:val="00937BAF"/>
    <w:rsid w:val="009564F4"/>
    <w:rsid w:val="00970D70"/>
    <w:rsid w:val="0098329C"/>
    <w:rsid w:val="009B025B"/>
    <w:rsid w:val="009B082C"/>
    <w:rsid w:val="00A00023"/>
    <w:rsid w:val="00A02639"/>
    <w:rsid w:val="00A20521"/>
    <w:rsid w:val="00A35FA1"/>
    <w:rsid w:val="00A51AF7"/>
    <w:rsid w:val="00A5552F"/>
    <w:rsid w:val="00AF1BA7"/>
    <w:rsid w:val="00AF64D5"/>
    <w:rsid w:val="00B019A9"/>
    <w:rsid w:val="00B03451"/>
    <w:rsid w:val="00B3284E"/>
    <w:rsid w:val="00BC67FD"/>
    <w:rsid w:val="00C9178A"/>
    <w:rsid w:val="00C96A81"/>
    <w:rsid w:val="00CC5CE9"/>
    <w:rsid w:val="00CE1C71"/>
    <w:rsid w:val="00D74080"/>
    <w:rsid w:val="00D91C71"/>
    <w:rsid w:val="00DA1DCF"/>
    <w:rsid w:val="00E11A9C"/>
    <w:rsid w:val="00E327DD"/>
    <w:rsid w:val="00EB0E4B"/>
    <w:rsid w:val="00ED74C8"/>
    <w:rsid w:val="00F01986"/>
    <w:rsid w:val="00F15F99"/>
    <w:rsid w:val="00F22E20"/>
    <w:rsid w:val="00F236DF"/>
    <w:rsid w:val="00F53907"/>
    <w:rsid w:val="00FB7672"/>
    <w:rsid w:val="00FC5932"/>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able Grid" w:uiPriority="59"/>
    <w:lsdException w:name="List Paragraph" w:uiPriority="34" w:qFormat="1"/>
  </w:latentStyles>
  <w:style w:type="paragraph" w:default="1" w:styleId="Normal">
    <w:name w:val="Normal"/>
    <w:uiPriority w:val="1"/>
    <w:qFormat/>
    <w:rsid w:val="00FC5932"/>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FC5932"/>
    <w:pPr>
      <w:ind w:left="100"/>
      <w:outlineLvl w:val="0"/>
    </w:pPr>
    <w:rPr>
      <w:rFonts w:ascii="Arial" w:hAnsi="Arial" w:cs="Arial"/>
      <w:b/>
      <w:bCs/>
      <w:sz w:val="28"/>
      <w:szCs w:val="28"/>
      <w:u w:val="single"/>
    </w:rPr>
  </w:style>
  <w:style w:type="paragraph" w:styleId="Heading2">
    <w:name w:val="heading 2"/>
    <w:basedOn w:val="Normal"/>
    <w:next w:val="Normal"/>
    <w:link w:val="Heading2Char"/>
    <w:uiPriority w:val="1"/>
    <w:qFormat/>
    <w:rsid w:val="00FC5932"/>
    <w:pPr>
      <w:ind w:left="635" w:hanging="535"/>
      <w:outlineLvl w:val="1"/>
    </w:pPr>
    <w:rPr>
      <w:rFonts w:ascii="Arial" w:hAnsi="Arial" w:cs="Arial"/>
      <w:b/>
      <w:bCs/>
    </w:rPr>
  </w:style>
  <w:style w:type="paragraph" w:styleId="Heading3">
    <w:name w:val="heading 3"/>
    <w:basedOn w:val="Normal"/>
    <w:next w:val="Normal"/>
    <w:link w:val="Heading3Char"/>
    <w:uiPriority w:val="1"/>
    <w:qFormat/>
    <w:rsid w:val="00FC5932"/>
    <w:pPr>
      <w:ind w:left="10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5932"/>
    <w:rPr>
      <w:rFonts w:ascii="Arial" w:eastAsiaTheme="minorEastAsia" w:hAnsi="Arial" w:cs="Arial"/>
      <w:b/>
      <w:bCs/>
      <w:sz w:val="28"/>
      <w:szCs w:val="28"/>
      <w:u w:val="single"/>
      <w:lang w:eastAsia="en-GB"/>
    </w:rPr>
  </w:style>
  <w:style w:type="character" w:customStyle="1" w:styleId="Heading2Char">
    <w:name w:val="Heading 2 Char"/>
    <w:basedOn w:val="DefaultParagraphFont"/>
    <w:link w:val="Heading2"/>
    <w:uiPriority w:val="1"/>
    <w:rsid w:val="00FC5932"/>
    <w:rPr>
      <w:rFonts w:ascii="Arial" w:eastAsiaTheme="minorEastAsia" w:hAnsi="Arial" w:cs="Arial"/>
      <w:b/>
      <w:bCs/>
      <w:sz w:val="24"/>
      <w:szCs w:val="24"/>
      <w:lang w:eastAsia="en-GB"/>
    </w:rPr>
  </w:style>
  <w:style w:type="character" w:customStyle="1" w:styleId="Heading3Char">
    <w:name w:val="Heading 3 Char"/>
    <w:basedOn w:val="DefaultParagraphFont"/>
    <w:link w:val="Heading3"/>
    <w:uiPriority w:val="1"/>
    <w:rsid w:val="00FC5932"/>
    <w:rPr>
      <w:rFonts w:ascii="Arial" w:eastAsiaTheme="minorEastAsia" w:hAnsi="Arial" w:cs="Arial"/>
      <w:b/>
      <w:bCs/>
      <w:lang w:eastAsia="en-GB"/>
    </w:rPr>
  </w:style>
  <w:style w:type="paragraph" w:styleId="BodyText">
    <w:name w:val="Body Text"/>
    <w:basedOn w:val="Normal"/>
    <w:link w:val="BodyTextChar"/>
    <w:uiPriority w:val="1"/>
    <w:qFormat/>
    <w:rsid w:val="00FC5932"/>
    <w:pPr>
      <w:ind w:left="640"/>
    </w:pPr>
    <w:rPr>
      <w:rFonts w:ascii="Arial" w:hAnsi="Arial" w:cs="Arial"/>
      <w:sz w:val="22"/>
      <w:szCs w:val="22"/>
    </w:rPr>
  </w:style>
  <w:style w:type="character" w:customStyle="1" w:styleId="BodyTextChar">
    <w:name w:val="Body Text Char"/>
    <w:basedOn w:val="DefaultParagraphFont"/>
    <w:link w:val="BodyText"/>
    <w:uiPriority w:val="1"/>
    <w:rsid w:val="00FC5932"/>
    <w:rPr>
      <w:rFonts w:ascii="Arial" w:eastAsiaTheme="minorEastAsia" w:hAnsi="Arial" w:cs="Arial"/>
      <w:lang w:eastAsia="en-GB"/>
    </w:rPr>
  </w:style>
  <w:style w:type="paragraph" w:styleId="ListParagraph">
    <w:name w:val="List Paragraph"/>
    <w:basedOn w:val="Normal"/>
    <w:uiPriority w:val="34"/>
    <w:qFormat/>
    <w:rsid w:val="00FC5932"/>
  </w:style>
  <w:style w:type="paragraph" w:customStyle="1" w:styleId="TableParagraph">
    <w:name w:val="Table Paragraph"/>
    <w:basedOn w:val="Normal"/>
    <w:uiPriority w:val="1"/>
    <w:qFormat/>
    <w:rsid w:val="00FC5932"/>
  </w:style>
  <w:style w:type="paragraph" w:styleId="BalloonText">
    <w:name w:val="Balloon Text"/>
    <w:basedOn w:val="Normal"/>
    <w:link w:val="BalloonTextChar"/>
    <w:uiPriority w:val="99"/>
    <w:semiHidden/>
    <w:unhideWhenUsed/>
    <w:rsid w:val="00FC5932"/>
    <w:rPr>
      <w:rFonts w:ascii="Tahoma" w:hAnsi="Tahoma" w:cs="Tahoma"/>
      <w:sz w:val="16"/>
      <w:szCs w:val="16"/>
    </w:rPr>
  </w:style>
  <w:style w:type="character" w:customStyle="1" w:styleId="BalloonTextChar">
    <w:name w:val="Balloon Text Char"/>
    <w:basedOn w:val="DefaultParagraphFont"/>
    <w:link w:val="BalloonText"/>
    <w:uiPriority w:val="99"/>
    <w:semiHidden/>
    <w:rsid w:val="00FC5932"/>
    <w:rPr>
      <w:rFonts w:ascii="Tahoma" w:eastAsiaTheme="minorEastAsia" w:hAnsi="Tahoma" w:cs="Tahoma"/>
      <w:sz w:val="16"/>
      <w:szCs w:val="16"/>
      <w:lang w:eastAsia="en-GB"/>
    </w:rPr>
  </w:style>
  <w:style w:type="paragraph" w:styleId="Header">
    <w:name w:val="header"/>
    <w:basedOn w:val="Normal"/>
    <w:link w:val="HeaderChar"/>
    <w:uiPriority w:val="99"/>
    <w:unhideWhenUsed/>
    <w:rsid w:val="00FC5932"/>
    <w:pPr>
      <w:tabs>
        <w:tab w:val="center" w:pos="4513"/>
        <w:tab w:val="right" w:pos="9026"/>
      </w:tabs>
    </w:pPr>
  </w:style>
  <w:style w:type="character" w:customStyle="1" w:styleId="HeaderChar">
    <w:name w:val="Header Char"/>
    <w:basedOn w:val="DefaultParagraphFont"/>
    <w:link w:val="Header"/>
    <w:uiPriority w:val="99"/>
    <w:rsid w:val="00FC5932"/>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FC5932"/>
    <w:pPr>
      <w:tabs>
        <w:tab w:val="center" w:pos="4513"/>
        <w:tab w:val="right" w:pos="9026"/>
      </w:tabs>
    </w:pPr>
  </w:style>
  <w:style w:type="character" w:customStyle="1" w:styleId="FooterChar">
    <w:name w:val="Footer Char"/>
    <w:basedOn w:val="DefaultParagraphFont"/>
    <w:link w:val="Footer"/>
    <w:uiPriority w:val="99"/>
    <w:rsid w:val="00FC5932"/>
    <w:rPr>
      <w:rFonts w:ascii="Times New Roman" w:eastAsiaTheme="minorEastAsia" w:hAnsi="Times New Roman" w:cs="Times New Roman"/>
      <w:sz w:val="24"/>
      <w:szCs w:val="24"/>
      <w:lang w:eastAsia="en-GB"/>
    </w:rPr>
  </w:style>
  <w:style w:type="table" w:styleId="TableGrid">
    <w:name w:val="Table Grid"/>
    <w:basedOn w:val="TableNormal"/>
    <w:uiPriority w:val="59"/>
    <w:rsid w:val="0074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3D5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23D50"/>
    <w:rPr>
      <w:color w:val="0000FF" w:themeColor="hyperlink"/>
      <w:u w:val="single"/>
    </w:rPr>
  </w:style>
  <w:style w:type="paragraph" w:customStyle="1" w:styleId="p">
    <w:name w:val="p"/>
    <w:basedOn w:val="Normal"/>
    <w:rsid w:val="005B2407"/>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5B2407"/>
    <w:rPr>
      <w:b/>
      <w:bCs/>
    </w:rPr>
  </w:style>
  <w:style w:type="character" w:customStyle="1" w:styleId="kwd-text">
    <w:name w:val="kwd-text"/>
    <w:basedOn w:val="DefaultParagraphFont"/>
    <w:rsid w:val="005B2407"/>
  </w:style>
  <w:style w:type="character" w:styleId="FollowedHyperlink">
    <w:name w:val="FollowedHyperlink"/>
    <w:basedOn w:val="DefaultParagraphFont"/>
    <w:rsid w:val="00802AE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0" w:defSemiHidden="0" w:defUnhideWhenUsed="0" w:defQFormat="0" w:count="267">
    <w:lsdException w:name="Table Grid" w:uiPriority="59"/>
    <w:lsdException w:name="List Paragraph" w:uiPriority="34" w:qFormat="1"/>
  </w:latentStyles>
  <w:style w:type="paragraph" w:default="1" w:styleId="Normal">
    <w:name w:val="Normal"/>
    <w:uiPriority w:val="1"/>
    <w:qFormat/>
    <w:rsid w:val="00FC5932"/>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paragraph" w:styleId="Heading1">
    <w:name w:val="heading 1"/>
    <w:basedOn w:val="Normal"/>
    <w:next w:val="Normal"/>
    <w:link w:val="Heading1Char"/>
    <w:uiPriority w:val="1"/>
    <w:qFormat/>
    <w:rsid w:val="00FC5932"/>
    <w:pPr>
      <w:ind w:left="100"/>
      <w:outlineLvl w:val="0"/>
    </w:pPr>
    <w:rPr>
      <w:rFonts w:ascii="Arial" w:hAnsi="Arial" w:cs="Arial"/>
      <w:b/>
      <w:bCs/>
      <w:sz w:val="28"/>
      <w:szCs w:val="28"/>
      <w:u w:val="single"/>
    </w:rPr>
  </w:style>
  <w:style w:type="paragraph" w:styleId="Heading2">
    <w:name w:val="heading 2"/>
    <w:basedOn w:val="Normal"/>
    <w:next w:val="Normal"/>
    <w:link w:val="Heading2Char"/>
    <w:uiPriority w:val="1"/>
    <w:qFormat/>
    <w:rsid w:val="00FC5932"/>
    <w:pPr>
      <w:ind w:left="635" w:hanging="535"/>
      <w:outlineLvl w:val="1"/>
    </w:pPr>
    <w:rPr>
      <w:rFonts w:ascii="Arial" w:hAnsi="Arial" w:cs="Arial"/>
      <w:b/>
      <w:bCs/>
    </w:rPr>
  </w:style>
  <w:style w:type="paragraph" w:styleId="Heading3">
    <w:name w:val="heading 3"/>
    <w:basedOn w:val="Normal"/>
    <w:next w:val="Normal"/>
    <w:link w:val="Heading3Char"/>
    <w:uiPriority w:val="1"/>
    <w:qFormat/>
    <w:rsid w:val="00FC5932"/>
    <w:pPr>
      <w:ind w:left="100"/>
      <w:outlineLvl w:val="2"/>
    </w:pPr>
    <w:rPr>
      <w:rFonts w:ascii="Arial" w:hAnsi="Arial" w:cs="Arial"/>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FC5932"/>
    <w:rPr>
      <w:rFonts w:ascii="Arial" w:eastAsiaTheme="minorEastAsia" w:hAnsi="Arial" w:cs="Arial"/>
      <w:b/>
      <w:bCs/>
      <w:sz w:val="28"/>
      <w:szCs w:val="28"/>
      <w:u w:val="single"/>
      <w:lang w:eastAsia="en-GB"/>
    </w:rPr>
  </w:style>
  <w:style w:type="character" w:customStyle="1" w:styleId="Heading2Char">
    <w:name w:val="Heading 2 Char"/>
    <w:basedOn w:val="DefaultParagraphFont"/>
    <w:link w:val="Heading2"/>
    <w:uiPriority w:val="1"/>
    <w:rsid w:val="00FC5932"/>
    <w:rPr>
      <w:rFonts w:ascii="Arial" w:eastAsiaTheme="minorEastAsia" w:hAnsi="Arial" w:cs="Arial"/>
      <w:b/>
      <w:bCs/>
      <w:sz w:val="24"/>
      <w:szCs w:val="24"/>
      <w:lang w:eastAsia="en-GB"/>
    </w:rPr>
  </w:style>
  <w:style w:type="character" w:customStyle="1" w:styleId="Heading3Char">
    <w:name w:val="Heading 3 Char"/>
    <w:basedOn w:val="DefaultParagraphFont"/>
    <w:link w:val="Heading3"/>
    <w:uiPriority w:val="1"/>
    <w:rsid w:val="00FC5932"/>
    <w:rPr>
      <w:rFonts w:ascii="Arial" w:eastAsiaTheme="minorEastAsia" w:hAnsi="Arial" w:cs="Arial"/>
      <w:b/>
      <w:bCs/>
      <w:lang w:eastAsia="en-GB"/>
    </w:rPr>
  </w:style>
  <w:style w:type="paragraph" w:styleId="BodyText">
    <w:name w:val="Body Text"/>
    <w:basedOn w:val="Normal"/>
    <w:link w:val="BodyTextChar"/>
    <w:uiPriority w:val="1"/>
    <w:qFormat/>
    <w:rsid w:val="00FC5932"/>
    <w:pPr>
      <w:ind w:left="640"/>
    </w:pPr>
    <w:rPr>
      <w:rFonts w:ascii="Arial" w:hAnsi="Arial" w:cs="Arial"/>
      <w:sz w:val="22"/>
      <w:szCs w:val="22"/>
    </w:rPr>
  </w:style>
  <w:style w:type="character" w:customStyle="1" w:styleId="BodyTextChar">
    <w:name w:val="Body Text Char"/>
    <w:basedOn w:val="DefaultParagraphFont"/>
    <w:link w:val="BodyText"/>
    <w:uiPriority w:val="1"/>
    <w:rsid w:val="00FC5932"/>
    <w:rPr>
      <w:rFonts w:ascii="Arial" w:eastAsiaTheme="minorEastAsia" w:hAnsi="Arial" w:cs="Arial"/>
      <w:lang w:eastAsia="en-GB"/>
    </w:rPr>
  </w:style>
  <w:style w:type="paragraph" w:styleId="ListParagraph">
    <w:name w:val="List Paragraph"/>
    <w:basedOn w:val="Normal"/>
    <w:uiPriority w:val="34"/>
    <w:qFormat/>
    <w:rsid w:val="00FC5932"/>
  </w:style>
  <w:style w:type="paragraph" w:customStyle="1" w:styleId="TableParagraph">
    <w:name w:val="Table Paragraph"/>
    <w:basedOn w:val="Normal"/>
    <w:uiPriority w:val="1"/>
    <w:qFormat/>
    <w:rsid w:val="00FC5932"/>
  </w:style>
  <w:style w:type="paragraph" w:styleId="BalloonText">
    <w:name w:val="Balloon Text"/>
    <w:basedOn w:val="Normal"/>
    <w:link w:val="BalloonTextChar"/>
    <w:uiPriority w:val="99"/>
    <w:semiHidden/>
    <w:unhideWhenUsed/>
    <w:rsid w:val="00FC5932"/>
    <w:rPr>
      <w:rFonts w:ascii="Tahoma" w:hAnsi="Tahoma" w:cs="Tahoma"/>
      <w:sz w:val="16"/>
      <w:szCs w:val="16"/>
    </w:rPr>
  </w:style>
  <w:style w:type="character" w:customStyle="1" w:styleId="BalloonTextChar">
    <w:name w:val="Balloon Text Char"/>
    <w:basedOn w:val="DefaultParagraphFont"/>
    <w:link w:val="BalloonText"/>
    <w:uiPriority w:val="99"/>
    <w:semiHidden/>
    <w:rsid w:val="00FC5932"/>
    <w:rPr>
      <w:rFonts w:ascii="Tahoma" w:eastAsiaTheme="minorEastAsia" w:hAnsi="Tahoma" w:cs="Tahoma"/>
      <w:sz w:val="16"/>
      <w:szCs w:val="16"/>
      <w:lang w:eastAsia="en-GB"/>
    </w:rPr>
  </w:style>
  <w:style w:type="paragraph" w:styleId="Header">
    <w:name w:val="header"/>
    <w:basedOn w:val="Normal"/>
    <w:link w:val="HeaderChar"/>
    <w:uiPriority w:val="99"/>
    <w:unhideWhenUsed/>
    <w:rsid w:val="00FC5932"/>
    <w:pPr>
      <w:tabs>
        <w:tab w:val="center" w:pos="4513"/>
        <w:tab w:val="right" w:pos="9026"/>
      </w:tabs>
    </w:pPr>
  </w:style>
  <w:style w:type="character" w:customStyle="1" w:styleId="HeaderChar">
    <w:name w:val="Header Char"/>
    <w:basedOn w:val="DefaultParagraphFont"/>
    <w:link w:val="Header"/>
    <w:uiPriority w:val="99"/>
    <w:rsid w:val="00FC5932"/>
    <w:rPr>
      <w:rFonts w:ascii="Times New Roman" w:eastAsiaTheme="minorEastAsia" w:hAnsi="Times New Roman" w:cs="Times New Roman"/>
      <w:sz w:val="24"/>
      <w:szCs w:val="24"/>
      <w:lang w:eastAsia="en-GB"/>
    </w:rPr>
  </w:style>
  <w:style w:type="paragraph" w:styleId="Footer">
    <w:name w:val="footer"/>
    <w:basedOn w:val="Normal"/>
    <w:link w:val="FooterChar"/>
    <w:uiPriority w:val="99"/>
    <w:unhideWhenUsed/>
    <w:rsid w:val="00FC5932"/>
    <w:pPr>
      <w:tabs>
        <w:tab w:val="center" w:pos="4513"/>
        <w:tab w:val="right" w:pos="9026"/>
      </w:tabs>
    </w:pPr>
  </w:style>
  <w:style w:type="character" w:customStyle="1" w:styleId="FooterChar">
    <w:name w:val="Footer Char"/>
    <w:basedOn w:val="DefaultParagraphFont"/>
    <w:link w:val="Footer"/>
    <w:uiPriority w:val="99"/>
    <w:rsid w:val="00FC5932"/>
    <w:rPr>
      <w:rFonts w:ascii="Times New Roman" w:eastAsiaTheme="minorEastAsia" w:hAnsi="Times New Roman" w:cs="Times New Roman"/>
      <w:sz w:val="24"/>
      <w:szCs w:val="24"/>
      <w:lang w:eastAsia="en-GB"/>
    </w:rPr>
  </w:style>
  <w:style w:type="table" w:styleId="TableGrid">
    <w:name w:val="Table Grid"/>
    <w:basedOn w:val="TableNormal"/>
    <w:uiPriority w:val="59"/>
    <w:rsid w:val="0074625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23D50"/>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423D50"/>
    <w:rPr>
      <w:color w:val="0000FF" w:themeColor="hyperlink"/>
      <w:u w:val="single"/>
    </w:rPr>
  </w:style>
  <w:style w:type="paragraph" w:customStyle="1" w:styleId="p">
    <w:name w:val="p"/>
    <w:basedOn w:val="Normal"/>
    <w:rsid w:val="005B2407"/>
    <w:pPr>
      <w:widowControl/>
      <w:autoSpaceDE/>
      <w:autoSpaceDN/>
      <w:adjustRightInd/>
      <w:spacing w:before="100" w:beforeAutospacing="1" w:after="100" w:afterAutospacing="1"/>
    </w:pPr>
    <w:rPr>
      <w:rFonts w:eastAsia="Times New Roman"/>
    </w:rPr>
  </w:style>
  <w:style w:type="character" w:styleId="Strong">
    <w:name w:val="Strong"/>
    <w:basedOn w:val="DefaultParagraphFont"/>
    <w:uiPriority w:val="22"/>
    <w:qFormat/>
    <w:rsid w:val="005B2407"/>
    <w:rPr>
      <w:b/>
      <w:bCs/>
    </w:rPr>
  </w:style>
  <w:style w:type="character" w:customStyle="1" w:styleId="kwd-text">
    <w:name w:val="kwd-text"/>
    <w:basedOn w:val="DefaultParagraphFont"/>
    <w:rsid w:val="005B2407"/>
  </w:style>
  <w:style w:type="character" w:styleId="FollowedHyperlink">
    <w:name w:val="FollowedHyperlink"/>
    <w:basedOn w:val="DefaultParagraphFont"/>
    <w:rsid w:val="00802AE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052452">
      <w:bodyDiv w:val="1"/>
      <w:marLeft w:val="0"/>
      <w:marRight w:val="0"/>
      <w:marTop w:val="0"/>
      <w:marBottom w:val="0"/>
      <w:divBdr>
        <w:top w:val="none" w:sz="0" w:space="0" w:color="auto"/>
        <w:left w:val="none" w:sz="0" w:space="0" w:color="auto"/>
        <w:bottom w:val="none" w:sz="0" w:space="0" w:color="auto"/>
        <w:right w:val="none" w:sz="0" w:space="0" w:color="auto"/>
      </w:divBdr>
    </w:div>
    <w:div w:id="575675934">
      <w:bodyDiv w:val="1"/>
      <w:marLeft w:val="0"/>
      <w:marRight w:val="0"/>
      <w:marTop w:val="0"/>
      <w:marBottom w:val="0"/>
      <w:divBdr>
        <w:top w:val="none" w:sz="0" w:space="0" w:color="auto"/>
        <w:left w:val="none" w:sz="0" w:space="0" w:color="auto"/>
        <w:bottom w:val="none" w:sz="0" w:space="0" w:color="auto"/>
        <w:right w:val="none" w:sz="0" w:space="0" w:color="auto"/>
      </w:divBdr>
      <w:divsChild>
        <w:div w:id="1076900321">
          <w:marLeft w:val="0"/>
          <w:marRight w:val="0"/>
          <w:marTop w:val="0"/>
          <w:marBottom w:val="0"/>
          <w:divBdr>
            <w:top w:val="none" w:sz="0" w:space="0" w:color="auto"/>
            <w:left w:val="none" w:sz="0" w:space="0" w:color="auto"/>
            <w:bottom w:val="none" w:sz="0" w:space="0" w:color="auto"/>
            <w:right w:val="none" w:sz="0" w:space="0" w:color="auto"/>
          </w:divBdr>
          <w:divsChild>
            <w:div w:id="1007437794">
              <w:marLeft w:val="0"/>
              <w:marRight w:val="0"/>
              <w:marTop w:val="0"/>
              <w:marBottom w:val="0"/>
              <w:divBdr>
                <w:top w:val="none" w:sz="0" w:space="0" w:color="auto"/>
                <w:left w:val="none" w:sz="0" w:space="0" w:color="auto"/>
                <w:bottom w:val="none" w:sz="0" w:space="0" w:color="auto"/>
                <w:right w:val="none" w:sz="0" w:space="0" w:color="auto"/>
              </w:divBdr>
              <w:divsChild>
                <w:div w:id="703672628">
                  <w:marLeft w:val="0"/>
                  <w:marRight w:val="0"/>
                  <w:marTop w:val="0"/>
                  <w:marBottom w:val="0"/>
                  <w:divBdr>
                    <w:top w:val="none" w:sz="0" w:space="0" w:color="auto"/>
                    <w:left w:val="none" w:sz="0" w:space="0" w:color="auto"/>
                    <w:bottom w:val="none" w:sz="0" w:space="0" w:color="auto"/>
                    <w:right w:val="none" w:sz="0" w:space="0" w:color="auto"/>
                  </w:divBdr>
                  <w:divsChild>
                    <w:div w:id="1836191406">
                      <w:marLeft w:val="0"/>
                      <w:marRight w:val="0"/>
                      <w:marTop w:val="0"/>
                      <w:marBottom w:val="0"/>
                      <w:divBdr>
                        <w:top w:val="none" w:sz="0" w:space="0" w:color="auto"/>
                        <w:left w:val="none" w:sz="0" w:space="0" w:color="auto"/>
                        <w:bottom w:val="none" w:sz="0" w:space="0" w:color="auto"/>
                        <w:right w:val="none" w:sz="0" w:space="0" w:color="auto"/>
                      </w:divBdr>
                      <w:divsChild>
                        <w:div w:id="1630935738">
                          <w:marLeft w:val="0"/>
                          <w:marRight w:val="0"/>
                          <w:marTop w:val="0"/>
                          <w:marBottom w:val="0"/>
                          <w:divBdr>
                            <w:top w:val="none" w:sz="0" w:space="0" w:color="auto"/>
                            <w:left w:val="none" w:sz="0" w:space="0" w:color="auto"/>
                            <w:bottom w:val="none" w:sz="0" w:space="0" w:color="auto"/>
                            <w:right w:val="none" w:sz="0" w:space="0" w:color="auto"/>
                          </w:divBdr>
                          <w:divsChild>
                            <w:div w:id="323053027">
                              <w:marLeft w:val="0"/>
                              <w:marRight w:val="0"/>
                              <w:marTop w:val="0"/>
                              <w:marBottom w:val="0"/>
                              <w:divBdr>
                                <w:top w:val="none" w:sz="0" w:space="0" w:color="auto"/>
                                <w:left w:val="none" w:sz="0" w:space="0" w:color="auto"/>
                                <w:bottom w:val="none" w:sz="0" w:space="0" w:color="auto"/>
                                <w:right w:val="none" w:sz="0" w:space="0" w:color="auto"/>
                              </w:divBdr>
                              <w:divsChild>
                                <w:div w:id="500707275">
                                  <w:marLeft w:val="-225"/>
                                  <w:marRight w:val="-225"/>
                                  <w:marTop w:val="0"/>
                                  <w:marBottom w:val="0"/>
                                  <w:divBdr>
                                    <w:top w:val="none" w:sz="0" w:space="0" w:color="auto"/>
                                    <w:left w:val="none" w:sz="0" w:space="0" w:color="auto"/>
                                    <w:bottom w:val="none" w:sz="0" w:space="0" w:color="auto"/>
                                    <w:right w:val="none" w:sz="0" w:space="0" w:color="auto"/>
                                  </w:divBdr>
                                  <w:divsChild>
                                    <w:div w:id="1853301233">
                                      <w:marLeft w:val="0"/>
                                      <w:marRight w:val="0"/>
                                      <w:marTop w:val="0"/>
                                      <w:marBottom w:val="0"/>
                                      <w:divBdr>
                                        <w:top w:val="none" w:sz="0" w:space="0" w:color="auto"/>
                                        <w:left w:val="none" w:sz="0" w:space="0" w:color="auto"/>
                                        <w:bottom w:val="none" w:sz="0" w:space="0" w:color="auto"/>
                                        <w:right w:val="none" w:sz="0" w:space="0" w:color="auto"/>
                                      </w:divBdr>
                                      <w:divsChild>
                                        <w:div w:id="1479759140">
                                          <w:marLeft w:val="0"/>
                                          <w:marRight w:val="0"/>
                                          <w:marTop w:val="0"/>
                                          <w:marBottom w:val="0"/>
                                          <w:divBdr>
                                            <w:top w:val="none" w:sz="0" w:space="0" w:color="auto"/>
                                            <w:left w:val="none" w:sz="0" w:space="0" w:color="auto"/>
                                            <w:bottom w:val="none" w:sz="0" w:space="0" w:color="auto"/>
                                            <w:right w:val="none" w:sz="0" w:space="0" w:color="auto"/>
                                          </w:divBdr>
                                          <w:divsChild>
                                            <w:div w:id="1840921466">
                                              <w:marLeft w:val="-225"/>
                                              <w:marRight w:val="-225"/>
                                              <w:marTop w:val="0"/>
                                              <w:marBottom w:val="0"/>
                                              <w:divBdr>
                                                <w:top w:val="none" w:sz="0" w:space="0" w:color="auto"/>
                                                <w:left w:val="none" w:sz="0" w:space="0" w:color="auto"/>
                                                <w:bottom w:val="none" w:sz="0" w:space="0" w:color="auto"/>
                                                <w:right w:val="none" w:sz="0" w:space="0" w:color="auto"/>
                                              </w:divBdr>
                                              <w:divsChild>
                                                <w:div w:id="1809742225">
                                                  <w:marLeft w:val="0"/>
                                                  <w:marRight w:val="0"/>
                                                  <w:marTop w:val="0"/>
                                                  <w:marBottom w:val="0"/>
                                                  <w:divBdr>
                                                    <w:top w:val="none" w:sz="0" w:space="0" w:color="auto"/>
                                                    <w:left w:val="none" w:sz="0" w:space="0" w:color="auto"/>
                                                    <w:bottom w:val="none" w:sz="0" w:space="0" w:color="auto"/>
                                                    <w:right w:val="none" w:sz="0" w:space="0" w:color="auto"/>
                                                  </w:divBdr>
                                                  <w:divsChild>
                                                    <w:div w:id="15310634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07708457">
      <w:bodyDiv w:val="1"/>
      <w:marLeft w:val="0"/>
      <w:marRight w:val="0"/>
      <w:marTop w:val="0"/>
      <w:marBottom w:val="0"/>
      <w:divBdr>
        <w:top w:val="none" w:sz="0" w:space="0" w:color="auto"/>
        <w:left w:val="none" w:sz="0" w:space="0" w:color="auto"/>
        <w:bottom w:val="none" w:sz="0" w:space="0" w:color="auto"/>
        <w:right w:val="none" w:sz="0" w:space="0" w:color="auto"/>
      </w:divBdr>
    </w:div>
    <w:div w:id="1529217149">
      <w:bodyDiv w:val="1"/>
      <w:marLeft w:val="0"/>
      <w:marRight w:val="0"/>
      <w:marTop w:val="0"/>
      <w:marBottom w:val="0"/>
      <w:divBdr>
        <w:top w:val="none" w:sz="0" w:space="0" w:color="auto"/>
        <w:left w:val="none" w:sz="0" w:space="0" w:color="auto"/>
        <w:bottom w:val="none" w:sz="0" w:space="0" w:color="auto"/>
        <w:right w:val="none" w:sz="0" w:space="0" w:color="auto"/>
      </w:divBdr>
      <w:divsChild>
        <w:div w:id="1969117689">
          <w:marLeft w:val="0"/>
          <w:marRight w:val="0"/>
          <w:marTop w:val="0"/>
          <w:marBottom w:val="0"/>
          <w:divBdr>
            <w:top w:val="none" w:sz="0" w:space="0" w:color="auto"/>
            <w:left w:val="none" w:sz="0" w:space="0" w:color="auto"/>
            <w:bottom w:val="none" w:sz="0" w:space="0" w:color="auto"/>
            <w:right w:val="none" w:sz="0" w:space="0" w:color="auto"/>
          </w:divBdr>
          <w:divsChild>
            <w:div w:id="526143643">
              <w:marLeft w:val="0"/>
              <w:marRight w:val="0"/>
              <w:marTop w:val="0"/>
              <w:marBottom w:val="0"/>
              <w:divBdr>
                <w:top w:val="none" w:sz="0" w:space="0" w:color="auto"/>
                <w:left w:val="none" w:sz="0" w:space="0" w:color="auto"/>
                <w:bottom w:val="none" w:sz="0" w:space="0" w:color="auto"/>
                <w:right w:val="none" w:sz="0" w:space="0" w:color="auto"/>
              </w:divBdr>
              <w:divsChild>
                <w:div w:id="2065829566">
                  <w:marLeft w:val="0"/>
                  <w:marRight w:val="0"/>
                  <w:marTop w:val="0"/>
                  <w:marBottom w:val="0"/>
                  <w:divBdr>
                    <w:top w:val="none" w:sz="0" w:space="0" w:color="auto"/>
                    <w:left w:val="none" w:sz="0" w:space="0" w:color="auto"/>
                    <w:bottom w:val="none" w:sz="0" w:space="0" w:color="auto"/>
                    <w:right w:val="none" w:sz="0" w:space="0" w:color="auto"/>
                  </w:divBdr>
                  <w:divsChild>
                    <w:div w:id="621377114">
                      <w:marLeft w:val="0"/>
                      <w:marRight w:val="0"/>
                      <w:marTop w:val="0"/>
                      <w:marBottom w:val="0"/>
                      <w:divBdr>
                        <w:top w:val="none" w:sz="0" w:space="0" w:color="auto"/>
                        <w:left w:val="none" w:sz="0" w:space="0" w:color="auto"/>
                        <w:bottom w:val="none" w:sz="0" w:space="0" w:color="auto"/>
                        <w:right w:val="none" w:sz="0" w:space="0" w:color="auto"/>
                      </w:divBdr>
                      <w:divsChild>
                        <w:div w:id="656035987">
                          <w:marLeft w:val="0"/>
                          <w:marRight w:val="0"/>
                          <w:marTop w:val="0"/>
                          <w:marBottom w:val="0"/>
                          <w:divBdr>
                            <w:top w:val="none" w:sz="0" w:space="0" w:color="auto"/>
                            <w:left w:val="none" w:sz="0" w:space="0" w:color="auto"/>
                            <w:bottom w:val="none" w:sz="0" w:space="0" w:color="auto"/>
                            <w:right w:val="none" w:sz="0" w:space="0" w:color="auto"/>
                          </w:divBdr>
                          <w:divsChild>
                            <w:div w:id="2050572070">
                              <w:marLeft w:val="0"/>
                              <w:marRight w:val="0"/>
                              <w:marTop w:val="0"/>
                              <w:marBottom w:val="0"/>
                              <w:divBdr>
                                <w:top w:val="none" w:sz="0" w:space="0" w:color="auto"/>
                                <w:left w:val="none" w:sz="0" w:space="0" w:color="auto"/>
                                <w:bottom w:val="none" w:sz="0" w:space="0" w:color="auto"/>
                                <w:right w:val="none" w:sz="0" w:space="0" w:color="auto"/>
                              </w:divBdr>
                              <w:divsChild>
                                <w:div w:id="1121413988">
                                  <w:marLeft w:val="0"/>
                                  <w:marRight w:val="0"/>
                                  <w:marTop w:val="0"/>
                                  <w:marBottom w:val="0"/>
                                  <w:divBdr>
                                    <w:top w:val="none" w:sz="0" w:space="0" w:color="auto"/>
                                    <w:left w:val="none" w:sz="0" w:space="0" w:color="auto"/>
                                    <w:bottom w:val="none" w:sz="0" w:space="0" w:color="auto"/>
                                    <w:right w:val="none" w:sz="0" w:space="0" w:color="auto"/>
                                  </w:divBdr>
                                  <w:divsChild>
                                    <w:div w:id="2105300746">
                                      <w:marLeft w:val="0"/>
                                      <w:marRight w:val="0"/>
                                      <w:marTop w:val="0"/>
                                      <w:marBottom w:val="0"/>
                                      <w:divBdr>
                                        <w:top w:val="none" w:sz="0" w:space="0" w:color="auto"/>
                                        <w:left w:val="none" w:sz="0" w:space="0" w:color="auto"/>
                                        <w:bottom w:val="none" w:sz="0" w:space="0" w:color="auto"/>
                                        <w:right w:val="none" w:sz="0" w:space="0" w:color="auto"/>
                                      </w:divBdr>
                                      <w:divsChild>
                                        <w:div w:id="1837838546">
                                          <w:marLeft w:val="0"/>
                                          <w:marRight w:val="0"/>
                                          <w:marTop w:val="0"/>
                                          <w:marBottom w:val="0"/>
                                          <w:divBdr>
                                            <w:top w:val="none" w:sz="0" w:space="0" w:color="auto"/>
                                            <w:left w:val="none" w:sz="0" w:space="0" w:color="auto"/>
                                            <w:bottom w:val="none" w:sz="0" w:space="0" w:color="auto"/>
                                            <w:right w:val="none" w:sz="0" w:space="0" w:color="auto"/>
                                          </w:divBdr>
                                          <w:divsChild>
                                            <w:div w:id="613903480">
                                              <w:marLeft w:val="0"/>
                                              <w:marRight w:val="0"/>
                                              <w:marTop w:val="0"/>
                                              <w:marBottom w:val="0"/>
                                              <w:divBdr>
                                                <w:top w:val="none" w:sz="0" w:space="0" w:color="auto"/>
                                                <w:left w:val="none" w:sz="0" w:space="0" w:color="auto"/>
                                                <w:bottom w:val="none" w:sz="0" w:space="0" w:color="auto"/>
                                                <w:right w:val="none" w:sz="0" w:space="0" w:color="auto"/>
                                              </w:divBdr>
                                              <w:divsChild>
                                                <w:div w:id="810051243">
                                                  <w:marLeft w:val="0"/>
                                                  <w:marRight w:val="0"/>
                                                  <w:marTop w:val="0"/>
                                                  <w:marBottom w:val="0"/>
                                                  <w:divBdr>
                                                    <w:top w:val="none" w:sz="0" w:space="0" w:color="auto"/>
                                                    <w:left w:val="none" w:sz="0" w:space="0" w:color="auto"/>
                                                    <w:bottom w:val="none" w:sz="0" w:space="0" w:color="auto"/>
                                                    <w:right w:val="none" w:sz="0" w:space="0" w:color="auto"/>
                                                  </w:divBdr>
                                                  <w:divsChild>
                                                    <w:div w:id="788083435">
                                                      <w:marLeft w:val="0"/>
                                                      <w:marRight w:val="0"/>
                                                      <w:marTop w:val="0"/>
                                                      <w:marBottom w:val="0"/>
                                                      <w:divBdr>
                                                        <w:top w:val="none" w:sz="0" w:space="0" w:color="auto"/>
                                                        <w:left w:val="none" w:sz="0" w:space="0" w:color="auto"/>
                                                        <w:bottom w:val="none" w:sz="0" w:space="0" w:color="auto"/>
                                                        <w:right w:val="none" w:sz="0" w:space="0" w:color="auto"/>
                                                      </w:divBdr>
                                                    </w:div>
                                                    <w:div w:id="1794246611">
                                                      <w:marLeft w:val="0"/>
                                                      <w:marRight w:val="0"/>
                                                      <w:marTop w:val="0"/>
                                                      <w:marBottom w:val="0"/>
                                                      <w:divBdr>
                                                        <w:top w:val="none" w:sz="0" w:space="0" w:color="auto"/>
                                                        <w:left w:val="none" w:sz="0" w:space="0" w:color="auto"/>
                                                        <w:bottom w:val="none" w:sz="0" w:space="0" w:color="auto"/>
                                                        <w:right w:val="none" w:sz="0" w:space="0" w:color="auto"/>
                                                      </w:divBdr>
                                                    </w:div>
                                                  </w:divsChild>
                                                </w:div>
                                                <w:div w:id="1583762151">
                                                  <w:marLeft w:val="0"/>
                                                  <w:marRight w:val="0"/>
                                                  <w:marTop w:val="0"/>
                                                  <w:marBottom w:val="0"/>
                                                  <w:divBdr>
                                                    <w:top w:val="none" w:sz="0" w:space="0" w:color="auto"/>
                                                    <w:left w:val="none" w:sz="0" w:space="0" w:color="auto"/>
                                                    <w:bottom w:val="none" w:sz="0" w:space="0" w:color="auto"/>
                                                    <w:right w:val="none" w:sz="0" w:space="0" w:color="auto"/>
                                                  </w:divBdr>
                                                  <w:divsChild>
                                                    <w:div w:id="160133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980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ospital.blood.co.uk/diagnostic-services/sp-ice-browser/www.hospital.blood.co.uk"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tg1wordpress01/wordpress/wp-content/uploads/2016/06/Blood-Transfusion-Adults.pdf" TargetMode="External"/><Relationship Id="rId17" Type="http://schemas.openxmlformats.org/officeDocument/2006/relationships/hyperlink" Target="https://b-s-h.org.uk/guidelines/guidelines/red-cell-transfusion-in-sickle-cell-disease-part-l/" TargetMode="External"/><Relationship Id="rId2" Type="http://schemas.openxmlformats.org/officeDocument/2006/relationships/numbering" Target="numbering.xml"/><Relationship Id="rId16" Type="http://schemas.openxmlformats.org/officeDocument/2006/relationships/hyperlink" Target="https://www.sicklecellsociety.org/wp-content/uploads/2018/04/Web-version-FINAL-SCS-Standards-GSM-6.4.18.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s-h.org.uk/guidelines/guidelines/red-cell-transfusion-in-sickle-cell-disease-part-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sicklecellsociety.org/wp-content/uploads/2018/04/Web-version-FINAL-SCS-Standards-GSM-6.4.18.pdf"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onlinelibrary.wiley.com/doi/full/10.1111/bjh.14346"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C9A75-DD9B-415C-AAA3-873EBD263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15</Pages>
  <Words>3142</Words>
  <Characters>17911</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21011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Sumiya Ahmad</dc:creator>
  <cp:lastModifiedBy>Elizabeth Rhodes</cp:lastModifiedBy>
  <cp:revision>4</cp:revision>
  <cp:lastPrinted>2017-03-14T17:59:00Z</cp:lastPrinted>
  <dcterms:created xsi:type="dcterms:W3CDTF">2020-02-24T10:18:00Z</dcterms:created>
  <dcterms:modified xsi:type="dcterms:W3CDTF">2020-02-24T17:08:00Z</dcterms:modified>
</cp:coreProperties>
</file>